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78" w:rsidRDefault="003B1078" w:rsidP="00D937BE">
      <w:pPr>
        <w:pStyle w:val="a3"/>
      </w:pPr>
    </w:p>
    <w:p w:rsidR="003B1078" w:rsidRDefault="00E22953" w:rsidP="003B1078">
      <w:pPr>
        <w:pStyle w:val="he2"/>
        <w:rPr>
          <w:b/>
          <w:bCs/>
          <w:color w:val="336699"/>
        </w:rPr>
      </w:pPr>
      <w:r>
        <w:rPr>
          <w:noProof/>
        </w:rPr>
        <w:drawing>
          <wp:anchor distT="95250" distB="95250" distL="95250" distR="9525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-228600</wp:posOffset>
            </wp:positionV>
            <wp:extent cx="1990725" cy="2857500"/>
            <wp:effectExtent l="19050" t="0" r="9525" b="0"/>
            <wp:wrapTopAndBottom/>
            <wp:docPr id="3" name="Рисунок 2" descr="Обложка. НПБ 201-96 Пожарная охрана предприятий. Общ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. НПБ 201-96 Пожарная охрана предприятий. Общ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078" w:rsidRPr="003B1078">
        <w:rPr>
          <w:b/>
          <w:bCs/>
          <w:color w:val="336699"/>
        </w:rPr>
        <w:t>НПБ 201-96 Пожарная охрана предприятий. Общие требования.</w:t>
      </w:r>
    </w:p>
    <w:p w:rsidR="003B1078" w:rsidRDefault="003B1078" w:rsidP="003B1078">
      <w:pPr>
        <w:pStyle w:val="npb"/>
        <w:jc w:val="center"/>
      </w:pPr>
      <w:r>
        <w:rPr>
          <w:color w:val="007F7F"/>
          <w:sz w:val="20"/>
          <w:szCs w:val="20"/>
        </w:rPr>
        <w:t>Разработаны ГУГПС МВД России (Молчанов В.П., Дешевых Ю.И.) и ВНИИПО МВД России (Болодьян И.А., Угорелов В.А., Борисов В.Н.).Внесены и подготовлены к утверждению отделом пожарной охраны объектов ГУГПС МВД России.Утверждены главным государственным инспектором Российской Федерации по пожарному надзору.Введены в действие приказом ГУГПС МВД России 30.04.96 г. N 19. Дата введения в действие 01.07.96 г.</w:t>
      </w:r>
    </w:p>
    <w:p w:rsidR="003B1078" w:rsidRDefault="003B1078" w:rsidP="003B1078">
      <w:pPr>
        <w:pStyle w:val="a3"/>
      </w:pPr>
      <w:r>
        <w:t> </w:t>
      </w:r>
    </w:p>
    <w:p w:rsidR="003B1078" w:rsidRDefault="003B1078" w:rsidP="003B1078">
      <w:pPr>
        <w:pStyle w:val="2"/>
      </w:pPr>
      <w:r>
        <w:rPr>
          <w:sz w:val="20"/>
          <w:szCs w:val="20"/>
        </w:rPr>
        <w:t> </w:t>
      </w:r>
      <w:r>
        <w:rPr>
          <w:rStyle w:val="a4"/>
          <w:b/>
          <w:bCs/>
          <w:sz w:val="20"/>
          <w:szCs w:val="20"/>
        </w:rPr>
        <w:t>1. Общие положения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1.1. Настоящие нормы устанавливают общие требования к пожарной охране предприятий, учреждений, организаций, крестьянских (фермерских) хозяйств, иных юридических лиц (далее - предприятия) независимо от их организационно-правовых форм и форм собственности.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1.2. Пожарная охрана в обязательном порядке создается на предприятиях, перечень и проектные производственные характеристики которых приведены в прил. 1. Затраты, связанные с содержанием пожарной охраны, осуществляются за счет собственных средств этих предприятий.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На предприятиях, проектные производственные характеристики которых не приведены в прил. 1, пожарная охрана может создаваться по решению их собственников или лиц, уполномоченных на управление предприятиями.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1.3. Задачи пожарной охраны предприятия выполняются объектовыми подразделениями Государственной противопожарной службы (ГПС) МВД России (по договорам), ведомственной пожарной охраной и дружинами (командами) добровольной пожарной охраны, а также другими организациями, имеющими лицензии на данный вид деятельности.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1.4. Допускается обслуживание одним подразделением пожарной охраны нескольких предприятий. При этом его общая численность и техническая оснащенность определяются в соответствии с требованиями настоящих норм с учетом производственных характеристик каждого предприятия.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1.5. В нормах используются следующие основные понятия: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личный состав пожарной охраны - сотрудники органов внутренних дел, военнослужащие, работники ГПС и ведомственной пожарной охраны, а также члены дружин (команд) добровольной пожарной охраны и персонал предприятий, выполняющий задачи пожарной охраны;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объекты предприятия - здания, помещения, наружные установки, сооружения и территория предприятия;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последующая подготовка - боевая и специальная подготовка личного состава пожарной охраны;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тренировка - выполнение упражнений, моделирующих действия личного состава пожарной охраны по тушению пожара;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пригодность личного состава пожарной охраны - отсутствие физических, медицинских и возрастных противопоказаний для работы в пожарной охране;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документы предварительного планирования боевых действий - типовые схемы, планы боевых действий личного состава пожарной охраны, разработанные на основе прогнозирования развития пожара на предприятии;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эксплуатация пожарной техники - работы, связанные с ее использованием, техническим обслуживанием, ремонтом, учетом и хранением.</w:t>
      </w:r>
    </w:p>
    <w:p w:rsidR="003B1078" w:rsidRDefault="003B1078" w:rsidP="003B1078">
      <w:pPr>
        <w:pStyle w:val="2"/>
      </w:pPr>
      <w:r>
        <w:rPr>
          <w:rStyle w:val="a4"/>
          <w:b/>
          <w:bCs/>
          <w:sz w:val="20"/>
          <w:szCs w:val="20"/>
        </w:rPr>
        <w:t>2. Организация работы пожарной охраны предприятий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2.1. На пожарную охрану предприятий возлагаются задачи по организации предупреждения пожаров и их тушению.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2.1.1. Организация предупреждения пожаров включает в себя: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контроль за соблюдением на предприятии требований пожарной безопасности;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разработку и реализацию, в пределах предоставленной компетенции, мер пожарной безопасности.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2.1.2. Организация тушения пожаров регламентируется Боевым уставом пожарной охраны и другими документами, утвержденными в установленном порядке.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2.2. Тушение пожаров пожарной охраной предприятия, не оснащенной мобильной пожарной техникой в соответствии с настоящими нормами, осуществляется имеющимися на предприятии средствами пожаротушения.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2.3. Для решения возложенных на пожарную охрану предприятия задач должны быть разработаны необходимые документы, в том числе: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положение о пожарной охране предприятия, согласованное с ГПС;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должностные инструкции личного состава пожарной охраны;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график дежурства личного состава пожарной охраны;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схемы, планы расположения на предприятии участков (секторов) с указанием порядка наблюдения за противопожарным состоянием объектов предприятия;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перечень пожарной техники и средств связи, а также порядок их эксплуатации;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расписание занятий по последующей подготовке личного состава пожарной охраны;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документы предварительного планирования боевых действий по тушению пожаров и взаимодействию со службами предприятия и подразделениями гарнизона пожарной охраны.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2.4. Документы, регламентирующие организацию деятельности пожарной охраны предприятия, рекомендуется разрабатывать применительно к нормативным и иным актам ГПС.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2.5. Численность пожарной охраны предприятия определяется в соответствии с настоящими нормами, с учетом сменности работы личного состава, необходимости его подмены на период отпусков и болезней.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2.6. В зависимости от штатной численности личного состава в организационную структуру пожарной охраны предприятия могут входить группы (структурные подразделения) по предупреждению пожаров, пожаротушению и ресурсному обеспечению.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При численности личного состава группы 8 и более человек в штат подразделения пожарной охраны вводят должности заместителя руководителя по указанным направлениям.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При численности личного состава пожарной охраны, находящегося на дежурстве, 2 и более человек вводят должности старших смен (начальников караулов).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Примерная организационная структура пожарной охраны предприятия приведена в прил. 2.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2.7. Структура и штаты объектовых подразделений ГПС определяются с учетом требований настоящих норм и типовых штатов, утвержденных в установленном порядке.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2.8. Численность группы, выполняющей задачи по предупреждению пожаров, определяется в соответствии с разд. 4 настоящих норм.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2.9. Количество и тип пожарных машин, другой пожарной техники, средств связи, а также необходимая численность личного состава пожарной охраны предприятия, осуществляющего дежурство на пожарных машинах, определяются в соответствии с разд. 5 настоящих норм.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2.10. Порядок введения в структуру пожарной охраны группы ресурсного обеспечения, состоящей из финансовых, кадровых работников, специалистов по обслуживанию пожарной техники и средств связи, определяется в соответствии с существующими нормативами.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2.11. При наличии в пожарной охране предприятия 2 и более подразделений, исходя из местных условий, создаются отряды пожарной охраны и службы пожаротушения.</w:t>
      </w:r>
    </w:p>
    <w:p w:rsidR="003B1078" w:rsidRDefault="003B1078" w:rsidP="003B1078">
      <w:pPr>
        <w:pStyle w:val="2"/>
      </w:pPr>
      <w:r>
        <w:rPr>
          <w:rStyle w:val="a4"/>
          <w:b/>
          <w:bCs/>
          <w:sz w:val="20"/>
          <w:szCs w:val="20"/>
        </w:rPr>
        <w:t>3. Требования к личному составу пожарной охраны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3.1. Личный состав пожарной охраны должен быть пригоден к выполнению возложенных на него задач, а также должен иметь необходимые знания и навыки для осуществления должностных обязанностей.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3.2. Личному составу пожарной охраны необходимо проходить медицинское освидетельствование на предмет отсутствия физических и медицинских противопоказаний для работы в пожарной охране.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3.3. Личный состав пожарной охраны должен пройти соответствующее специальное первоначальное обучение по программам, утвержденным ГПС.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Личный состав пожарной охраны, не прошедший первоначальное обучение, к самостоятельной работе не допускается.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3.4. Последующая подготовка личного состава пожарной охраны осуществляется руководителем пожарной охраны предприятия. Программа последующей подготовки согласовывается с начальником гарнизона пожарной охраны.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В ходе последующей подготовки личный состав должен изучать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предприятия и правила по охране труда.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Программа последующей подготовки должна предусматривать проведение теоретических и практических занятий.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3.5. Последующая подготовка должна планироваться таким образом, чтобы весь личный состав пожарной охраны не менее одного раза в квартал практически отрабатывал действия по тушению условных пожаров на предприятии с использованием имеющейся в его распоряжении пожарной техники. Подразделения пожарной охраны предприятия должны участвовать не реже одного раза в год в тренировках в составе гарнизона пожарной охраны.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3.6. Руководитель пожарной охраны предприятия должен иметь: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высшее или среднее специальное образование пожарно-технического профиля;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высшее или среднее специальное образование и стаж работы в пожарной охране на должностях начальствующего состава не менее пяти лет.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3.7. Руководящему составу пожарной охраны необходимо проходить обучение на курсах повышения квалификации не реже одного раза в пять лет.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3.8. Специальное первоначальное обучение и повышение квалификации личного состава пожарной охраны должны осуществляться в пожарно-технических учебных заведениях МВД России, учебных центрах и пунктах ГПС за счет средств предприятий.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3.9. Личный состав пожарной охраны, выполняющий работы по эксплуатации пожарных машин, изолирующих противогазов и средств связи, должен иметь соответствующую квалификацию.</w:t>
      </w:r>
    </w:p>
    <w:p w:rsidR="003B1078" w:rsidRDefault="003B1078" w:rsidP="003B1078">
      <w:pPr>
        <w:pStyle w:val="2"/>
      </w:pPr>
      <w:r>
        <w:rPr>
          <w:rStyle w:val="a4"/>
          <w:b/>
          <w:bCs/>
          <w:sz w:val="20"/>
          <w:szCs w:val="20"/>
        </w:rPr>
        <w:t>4. Предупреждение пожаров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4.1. Личным составом пожарной охраны для осуществления работы по предупреждению пожаров организуется наблюдение за противопожарным состоянием объектов предприятия.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4.2. Для организации наблюдения за противопожарным состоянием территория предприятия, его здания и сооружения делятся на участки (секторы). Маршруты обхода участков (секторов) следует планировать таким образом, чтобы периодичность контроля объектов предприятия не превышала времени, указанного в табл. 1.</w:t>
      </w:r>
    </w:p>
    <w:p w:rsidR="003B1078" w:rsidRDefault="003B1078" w:rsidP="003B1078">
      <w:pPr>
        <w:pStyle w:val="3"/>
      </w:pPr>
      <w:r>
        <w:rPr>
          <w:sz w:val="20"/>
          <w:szCs w:val="20"/>
        </w:rPr>
        <w:t>Таблица 1</w:t>
      </w:r>
    </w:p>
    <w:p w:rsidR="003B1078" w:rsidRDefault="003B1078" w:rsidP="003B1078">
      <w:pPr>
        <w:pStyle w:val="4"/>
      </w:pPr>
      <w:r>
        <w:rPr>
          <w:sz w:val="20"/>
          <w:szCs w:val="20"/>
        </w:rPr>
        <w:t>Порядок организации наблюдения за противопожарным состоянием объектов предприятия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65"/>
        <w:gridCol w:w="5924"/>
        <w:gridCol w:w="1616"/>
        <w:gridCol w:w="1589"/>
      </w:tblGrid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Группа сложности объектов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Критерии отнесения объектов предприятия к соответствующей группе сложности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Периодичность контроля,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Реко   мендуемая  площадь участка (сек тора), тыс.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Объекты предприятия, более 50 % площади застройки которых занимают здания и помещения, отнесенные по взрывопожарной и пожарной опасности к категории А, Б и В1-В4, а также объекты предприятия, имеющие открытые технологические установки и сооружения, в процессе производства которых обращаются легковоспламеняющиеся и горючие жидкости (газы); объекты использования атомной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Объекты предприятия, до 50 % площади застройки которых занимают здания и помещения, отнесенные по взрывопожарной и пожарной опасности к категории А, Б и В1-В4, а также объекты предприятия, имеющие открытые технологические установки и сооружения, в процессе производства которых обращаются легковоспламеняющиеся и горючие жидкости (газы); объекты энергетики; открытые площадки для хранения и переработки сгораемых материалов; объекты культуры, здравоохранения, социально-бытовой сферы; научные учреждения, гостиницы, административные здания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Прочие объекты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</w:tbl>
    <w:p w:rsidR="003B1078" w:rsidRDefault="003B1078" w:rsidP="003B1078">
      <w:pPr>
        <w:pStyle w:val="a3"/>
      </w:pPr>
      <w:r>
        <w:rPr>
          <w:sz w:val="20"/>
          <w:szCs w:val="20"/>
        </w:rPr>
        <w:t>4.3. Периодичность контроля объектов предприятия, оборудованных автоматическими установками пожаротушения и пожарной сигнализации, может увеличиваться на 50 % от установленного.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4.4. Для наблюдения за противопожарным состоянием объектов предприятия допускается использование не более 30 % численности личного состава, осуществляющего дежурство на пожарных машинах.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4.5. Общая численность личного состава пожарной охраны, выполняющего обязанности по предупреждению пожаров, устанавливается в зависимости от количества участков на предприятии.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 Пожарная техника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5.1. Для выполнения функций по тушению пожаров пожарная охрана предприятия оснащается пожарной техникой и средствами связи.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Перечень необходимой для этих целей техники и ее виды определяются предприятием в соответствии с настоящими нормами.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При оснащении пожарной техникой объектовых подразделений ГПС учитываются также утвержденные в установленном порядке нормы положенности пожарной техники, средств связи и другого оборудования.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5.2. Пожарная охрана оснащается пожарными машинами при: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удаленности объектов промышленного предприятия от места дислокации территориальных подразделений ГПС на расстояние, превышающее установленное СНиП 11-89-80* "Генеральные планы промышленных предприятий"  (расстояние определяется по пути следования от места дислокации подразделения пожарной охраны до наиболее удаленного здания, сооружения предприятия по дорогам общего пользования или проездам);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 xml:space="preserve">удаленности объектов предприятий (не отнесенных к категории промышленных) от места дислокации территориальных подразделений ГПС на расстояние более </w:t>
      </w:r>
      <w:smartTag w:uri="urn:schemas-microsoft-com:office:smarttags" w:element="metricconverter">
        <w:smartTagPr>
          <w:attr w:name="ProductID" w:val="3 км"/>
        </w:smartTagPr>
        <w:r>
          <w:rPr>
            <w:sz w:val="20"/>
            <w:szCs w:val="20"/>
          </w:rPr>
          <w:t>3 км</w:t>
        </w:r>
      </w:smartTag>
      <w:r>
        <w:rPr>
          <w:sz w:val="20"/>
          <w:szCs w:val="20"/>
        </w:rPr>
        <w:t xml:space="preserve"> в городах и более </w:t>
      </w:r>
      <w:smartTag w:uri="urn:schemas-microsoft-com:office:smarttags" w:element="metricconverter">
        <w:smartTagPr>
          <w:attr w:name="ProductID" w:val="12 км"/>
        </w:smartTagPr>
        <w:r>
          <w:rPr>
            <w:sz w:val="20"/>
            <w:szCs w:val="20"/>
          </w:rPr>
          <w:t>12 км</w:t>
        </w:r>
      </w:smartTag>
      <w:r>
        <w:rPr>
          <w:sz w:val="20"/>
          <w:szCs w:val="20"/>
        </w:rPr>
        <w:t xml:space="preserve"> в сельской местности;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отсутствии в гарнизоне пожарной охраны количества пожарных машин, необходимого для обеспечения подачи воды на нужды пожаротушения на предприятии.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Методика определения требуемого количества пожарных машин приведена в прил. 3.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5.3. Количество пожарных машин, необходимое для тушения пожаров на объектах предприятия, определяется исходя из расхода воды на наружное пожаротушение в соответствии с действующими нормами и правилами с учетом тактико-технических данных пожарных машин3, приведенных в табл. 2. (тактико-технические данные пожарных машин приведены с учетом их оснащения типовым комплектом пожарно-технического вооружения).</w:t>
      </w:r>
    </w:p>
    <w:p w:rsidR="003B1078" w:rsidRDefault="003B1078" w:rsidP="003B1078">
      <w:pPr>
        <w:pStyle w:val="3"/>
      </w:pPr>
      <w:r>
        <w:rPr>
          <w:sz w:val="20"/>
          <w:szCs w:val="20"/>
        </w:rPr>
        <w:t>Таблица 2</w:t>
      </w:r>
    </w:p>
    <w:p w:rsidR="003B1078" w:rsidRDefault="003B1078" w:rsidP="003B1078">
      <w:pPr>
        <w:pStyle w:val="4"/>
      </w:pPr>
      <w:r>
        <w:rPr>
          <w:sz w:val="20"/>
          <w:szCs w:val="20"/>
        </w:rPr>
        <w:t>Тактико-технические данные пожарных машин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61"/>
        <w:gridCol w:w="2714"/>
        <w:gridCol w:w="2704"/>
        <w:gridCol w:w="1115"/>
      </w:tblGrid>
      <w:tr w:rsidR="003B1078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Пожарные машины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Максимальный расход воды, л/с, при численности личного состава пожарной охраны, чел.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Пожарный автонасос с подачей насоса 40 л/с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21-28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Пожарная автоцистерна с подачей насоса 40 л/с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14-21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Пожарная автоцистерна с подачей насоса 40 л/с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3B1078" w:rsidRDefault="003B1078" w:rsidP="003B1078">
      <w:pPr>
        <w:pStyle w:val="a3"/>
      </w:pPr>
      <w:r>
        <w:rPr>
          <w:sz w:val="20"/>
          <w:szCs w:val="20"/>
        </w:rPr>
        <w:t>5.4. Для тушения пожаров на предприятиях, на которых в технологических процессах обращаются взрывопожароопасные, пожароопасные вещества и материалы и для их тушения требуются повышенный расход воды, применение огнетушащих порошков и/или газов, а также в целях обеспечения работы личного состава на высоте пожарная охрана должна быть оснащена специальными пожарными машинами: пожарной автонасосной станцией, рукавным пожарным автомобилем, пожарным автомобилем водопенного тушения, автомобилем порошкового пожаротушения, пожарным автомобилем газового тушения, пожарной автолестницей (автоподъемником).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5.5. Количество и тип специальных пожарных автомобилей, тактико-технические данные пожарных машин, не указанных в табл. 2, определяются по согласованию с территориальными органами управления ГПС.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5.6. Численность личного состава пожарной охраны, необходимая для работы на пожарных машинах, определяется исходя из тактико-технических данных находящихся на вооружении пожарных автомобилей.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5.7. При численности находящегося на дежурстве личного состава пожарной охраны предприятия 3 и более человек для выполнения работ по эвакуации людей и тушению пожара в непригодной для дыхания среде личный состав должен быть обеспечен изолирующими противогазами или противогазами на сжатом воздухе.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Количество противогазов определяется с учетом возможностей их индивидуального или группового использования и 100-процентного резерва.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Порядок эксплуатации противогазов должен соответствовать рекомендациям (инструкциям) предприятий-изготовителей.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5.8. Для организации управления пожарной охраной на предприятии создается система связи, которая должна обеспечивать: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немедленный вызов личного состава пожарной охраны для тушения пожара;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передачу распоряжений личному составу пожарной охраны, получение информации с места пожара;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руководство тушением пожара и взаимодействие с гарнизоном пожарной охраны. Для этого на предприятии должен быть организован пункт связи, личный состав пожарной охраны оснащен достаточным количеством средств радиосвязи (мобильные и носимые радиостанции, пейджеры и т.п.).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5.9. Пункт связи должен быть обеспечен прямым каналом связи (телефон, радио) с центром управления силами и средствами гарнизона пожарной охраны. Персонал, выполняющий обязанности по обеспечению связи, должен знать правила ее эксплуатации и порядок действий в случае получения информации о пожаре.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5.10. Пожарные автомобили должны быть обеспечены мобильной и двумя носимыми радиостанциями. Носимыми средствами связи должны быть обеспечены также руководитель тушения пожара и личный состав, осуществляющий дежурство и по условиям работы находящийся вне места постоянной дислокации пожарной охраны предприятия.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5.11. Личный состав пожарной охраны, находящийся на дежурстве, должен быть обеспечен средствами индивидуальной защиты, а также ручным пожарным инструментом, групповыми и индивидуальными электрическими фонарями.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Исходя из местных условий личный состав пожарной охраны обеспечивается приборами радиационной разведки и дозиметрического контроля, а также химического контроля и газового анализа.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5.12. Пожарная техника, имеющаяся на вооружении пожарной охраны предприятий, должна размещаться, эксплуатироваться в соответствии с требованиями ГОСТ 12.4.009-83 "Пожарная техника для защиты объектов".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5.13. Пожарные машины должны быть размещены в пожарных депо, выполненных в соответствии с НПБ 101-95 "Нормы проектирования объектов пожарной охраны". Размещение пожарных депо и их количество должны соответствовать требованиям СНиП 11-89-80* "Генеральные планы промышленных предприятий".</w:t>
      </w:r>
    </w:p>
    <w:p w:rsidR="003B1078" w:rsidRDefault="003B1078" w:rsidP="003B1078">
      <w:pPr>
        <w:pStyle w:val="3"/>
      </w:pPr>
      <w:r>
        <w:rPr>
          <w:sz w:val="20"/>
          <w:szCs w:val="20"/>
        </w:rPr>
        <w:t>Приложение 1 (обязательное)</w:t>
      </w:r>
    </w:p>
    <w:p w:rsidR="003B1078" w:rsidRDefault="003B1078" w:rsidP="003B1078">
      <w:pPr>
        <w:pStyle w:val="2"/>
      </w:pPr>
      <w:r>
        <w:rPr>
          <w:sz w:val="20"/>
          <w:szCs w:val="20"/>
        </w:rPr>
        <w:t>ПРЕДПРИЯТИЯ, ОРГАНИЗАЦИИ И ДРУГИЕ ОБЪЕКТЫ, ПРОИЗВОДСТВЕННЫЕ ХАРАКТЕРИСТИКИ КОТОРЫХ ОБУСЛОВЛИВАЮТ СОЗДАНИЕ ПОЖАРНОЙ ОХРАНЫ, СОДЕРЖАЩЕЙСЯ ЗА СЧЕТ СОБСТВЕННЫХ СРЕДСТВ ЭТИХ ПРЕДПРИЯТИЙ, ОРГАНИЗАЦИЙ И ОБЪЕКТОВ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и объекты нефтегазодобывающей и нефтегазоперерабатывающей промышленности: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нефтеперекачивающие станции общей вместимостью резервуарных парков 200 тыс. м3 и более;</w:t>
      </w:r>
      <w:r>
        <w:rPr>
          <w:sz w:val="20"/>
          <w:szCs w:val="20"/>
        </w:rPr>
        <w:br/>
        <w:t>газокомпрессорные станции общей мощностью газоперекачивающих агрегатов 100 тыс. кВт и более;</w:t>
      </w:r>
      <w:r>
        <w:rPr>
          <w:sz w:val="20"/>
          <w:szCs w:val="20"/>
        </w:rPr>
        <w:br/>
        <w:t>газоперерабатывающие заводы мощностью 1 млрд м3 газа в год и более;</w:t>
      </w:r>
      <w:r>
        <w:rPr>
          <w:sz w:val="20"/>
          <w:szCs w:val="20"/>
        </w:rPr>
        <w:br/>
        <w:t>нефтеперерабатывающие заводы мощностью 1 млн т нефти в год и более;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сооружения для добычи и подготовки нефти и газа на континентальном шельфе;</w:t>
      </w:r>
      <w:r>
        <w:rPr>
          <w:sz w:val="20"/>
          <w:szCs w:val="20"/>
        </w:rPr>
        <w:br/>
        <w:t>нефтебазы, расположенные в населенных пунктах, общей вместимостью резервуарных парков 100 тыс. м3 и более;</w:t>
      </w:r>
      <w:r>
        <w:rPr>
          <w:sz w:val="20"/>
          <w:szCs w:val="20"/>
        </w:rPr>
        <w:br/>
        <w:t>нефтебазы, расположенные вне населенных пунктов, общей вместимостью резервуарных парков 200 тыс. м3 и более;</w:t>
      </w:r>
      <w:r>
        <w:rPr>
          <w:sz w:val="20"/>
          <w:szCs w:val="20"/>
        </w:rPr>
        <w:br/>
        <w:t>станции подземного хранения газа вместимостью 9 млрд м3 и более;</w:t>
      </w:r>
      <w:r>
        <w:rPr>
          <w:sz w:val="20"/>
          <w:szCs w:val="20"/>
        </w:rPr>
        <w:br/>
        <w:t>объекты добычи нефти и газа общей мощностью установок:</w:t>
      </w:r>
      <w:r>
        <w:rPr>
          <w:sz w:val="20"/>
          <w:szCs w:val="20"/>
        </w:rPr>
        <w:br/>
        <w:t>подготовки нефти - 7 млн т в год и более;</w:t>
      </w:r>
      <w:r>
        <w:rPr>
          <w:sz w:val="20"/>
          <w:szCs w:val="20"/>
        </w:rPr>
        <w:br/>
        <w:t>комплексной подготовки газа - 7 млрд м3 в год и более.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химической и нефтехимической промышленности: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по производству синтетического каучука мощностью 60 тыс. т в год и более;</w:t>
      </w:r>
      <w:r>
        <w:rPr>
          <w:sz w:val="20"/>
          <w:szCs w:val="20"/>
        </w:rPr>
        <w:br/>
        <w:t>предприятия по производству химической продукции (спиртов, эфиров, смол, винилхлорида, волокон, красок и др.) с применением взрывопожароопасных веществ мощностью 600 т в год и более;</w:t>
      </w:r>
      <w:r>
        <w:rPr>
          <w:sz w:val="20"/>
          <w:szCs w:val="20"/>
        </w:rPr>
        <w:br/>
        <w:t>предприятия по производству шин и резинотехнических изделий мощностью 5 млн ед. продукции в год и более;</w:t>
      </w:r>
      <w:r>
        <w:rPr>
          <w:sz w:val="20"/>
          <w:szCs w:val="20"/>
        </w:rPr>
        <w:br/>
        <w:t>предприятия по переработке и получению сжиженных углеводородных газов мощностью 1,5 млн т в год и более;</w:t>
      </w:r>
      <w:r>
        <w:rPr>
          <w:sz w:val="20"/>
          <w:szCs w:val="20"/>
        </w:rPr>
        <w:br/>
        <w:t>предприятия по производству минеральных удобрений мощностью 600 т в год и более.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электроэнергетической промышленности: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государственные районные электростанции мощностью 1000 МВт и более;</w:t>
      </w:r>
      <w:r>
        <w:rPr>
          <w:sz w:val="20"/>
          <w:szCs w:val="20"/>
        </w:rPr>
        <w:br/>
        <w:t>гидроэлектростанции мощностью 1500 МВт и более;</w:t>
      </w:r>
      <w:r>
        <w:rPr>
          <w:sz w:val="20"/>
          <w:szCs w:val="20"/>
        </w:rPr>
        <w:br/>
        <w:t>тепловые электростанции мощностью 500 МВт и более.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машиностроительной промышленности: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t>предприятия автомобильной промышленности с выпуском:</w:t>
      </w:r>
      <w:r>
        <w:rPr>
          <w:sz w:val="20"/>
          <w:szCs w:val="20"/>
        </w:rPr>
        <w:br/>
        <w:t>50 тыс. легковых автомобилей в год и более;</w:t>
      </w:r>
      <w:r>
        <w:rPr>
          <w:sz w:val="20"/>
          <w:szCs w:val="20"/>
        </w:rPr>
        <w:br/>
        <w:t>10 тыс. грузовых автомобилей в год и более;</w:t>
      </w:r>
      <w:r>
        <w:rPr>
          <w:sz w:val="20"/>
          <w:szCs w:val="20"/>
        </w:rPr>
        <w:br/>
        <w:t>2 тыс. автобусов, троллейбусов, вагонов в год и более;</w:t>
      </w:r>
      <w:r>
        <w:rPr>
          <w:sz w:val="20"/>
          <w:szCs w:val="20"/>
        </w:rPr>
        <w:br/>
        <w:t>50 тыс. силовых мостов в год и более;</w:t>
      </w:r>
      <w:r>
        <w:rPr>
          <w:sz w:val="20"/>
          <w:szCs w:val="20"/>
        </w:rPr>
        <w:br/>
        <w:t>предприятия по выпуску сельскохозяйственных машин мощностью 25 тыс. тракторов в год и более;</w:t>
      </w:r>
      <w:r>
        <w:rPr>
          <w:sz w:val="20"/>
          <w:szCs w:val="20"/>
        </w:rPr>
        <w:br/>
        <w:t>предприятия металлообрабатывающей промышленности общей производственной площадью 200 тыс. м2 и более, если 25 % и более этой площади занимают взpывопожароопасные и пожароопасные здания и помещения;</w:t>
      </w:r>
      <w:r>
        <w:rPr>
          <w:sz w:val="20"/>
          <w:szCs w:val="20"/>
        </w:rPr>
        <w:br/>
        <w:t>предприятия металлургической промышленности мощностью:</w:t>
      </w:r>
      <w:r>
        <w:rPr>
          <w:sz w:val="20"/>
          <w:szCs w:val="20"/>
        </w:rPr>
        <w:br/>
        <w:t>500 тыс. т чугуна в год и более;</w:t>
      </w:r>
      <w:r>
        <w:rPr>
          <w:sz w:val="20"/>
          <w:szCs w:val="20"/>
        </w:rPr>
        <w:br/>
        <w:t>25 тыс. т стали в год и более;</w:t>
      </w:r>
      <w:r>
        <w:rPr>
          <w:sz w:val="20"/>
          <w:szCs w:val="20"/>
        </w:rPr>
        <w:br/>
        <w:t>предприятия по хранению, переработке древесины и производству целлюлозы мощностью:</w:t>
      </w:r>
      <w:r>
        <w:rPr>
          <w:sz w:val="20"/>
          <w:szCs w:val="20"/>
        </w:rPr>
        <w:br/>
        <w:t>по распиловке древесины - 200 тыс. м3 в год и более;</w:t>
      </w:r>
      <w:r>
        <w:rPr>
          <w:sz w:val="20"/>
          <w:szCs w:val="20"/>
        </w:rPr>
        <w:br/>
        <w:t>по производству целлюлозы и бумаги - 300 тыс. т в год и более;</w:t>
      </w:r>
      <w:r>
        <w:rPr>
          <w:sz w:val="20"/>
          <w:szCs w:val="20"/>
        </w:rPr>
        <w:br/>
        <w:t>объекты угольных месторождений с открытой добычей 2 млн т угля в год и более;</w:t>
      </w:r>
      <w:r>
        <w:rPr>
          <w:sz w:val="20"/>
          <w:szCs w:val="20"/>
        </w:rPr>
        <w:br/>
        <w:t>государственные архивы с фондом хранения более 200 тыс. ед. архивных дел;</w:t>
      </w:r>
      <w:r>
        <w:rPr>
          <w:sz w:val="20"/>
          <w:szCs w:val="20"/>
        </w:rPr>
        <w:br/>
        <w:t>особо ценные объекты, включенные в Государственный свод особо ценных объектов культурного наследия народов Российской Федерации;</w:t>
      </w:r>
      <w:r>
        <w:rPr>
          <w:sz w:val="20"/>
          <w:szCs w:val="20"/>
        </w:rPr>
        <w:br/>
        <w:t>аппаратно-студийные комплексы телерадиокомпании с балансовой стоимостью имущества 100 тыс. минимальных размеров оплаты труда и более.</w:t>
      </w:r>
    </w:p>
    <w:p w:rsidR="003B1078" w:rsidRDefault="003B1078" w:rsidP="003B1078">
      <w:pPr>
        <w:pStyle w:val="4"/>
      </w:pPr>
      <w:r>
        <w:rPr>
          <w:sz w:val="20"/>
          <w:szCs w:val="20"/>
        </w:rPr>
        <w:t>Характеристики предприятий или организаций*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61"/>
        <w:gridCol w:w="3884"/>
        <w:gridCol w:w="1949"/>
        <w:gridCol w:w="2000"/>
      </w:tblGrid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Доля общей производственной площади предприятия, занимаемой зданиями, сооружениями наружными технологическими установками, отнесенными к взрывопожароопасным и пожароопасным категориям, а также открытыми складами пожароопасной продукции и материалов, %**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Балансовая стоимость имущества предприятия (количество минимальных размеров оплаты   труда)***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jc w:val="center"/>
            </w:pPr>
            <w:r>
              <w:rPr>
                <w:sz w:val="20"/>
                <w:szCs w:val="20"/>
              </w:rPr>
              <w:t xml:space="preserve">  </w:t>
            </w:r>
          </w:p>
          <w:p w:rsidR="003B1078" w:rsidRDefault="003B1078">
            <w:pPr>
              <w:pStyle w:val="a3"/>
              <w:jc w:val="center"/>
            </w:pPr>
            <w:r>
              <w:rPr>
                <w:sz w:val="20"/>
                <w:szCs w:val="20"/>
              </w:rPr>
              <w:t>Расчетное  количество  людей, одновременно находящихся в здании,   сооружении предприятия, или мест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Промышленные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25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Предприятия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lastRenderedPageBreak/>
              <w:t>Предприятия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Научные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15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Сельскохозяйственные предприятия в том числе предприятия пищевой, перерабатывающей промышленности и рыбного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При численности  работающих 70 , и более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Предприятия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 и более 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Базы и склады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10000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Учебные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10000 и более  учащихся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Культурно- зрелищные учреждения:</w:t>
            </w:r>
            <w:r>
              <w:rPr>
                <w:sz w:val="20"/>
                <w:szCs w:val="20"/>
              </w:rPr>
              <w:br/>
              <w:t>театры, цирки и другие сооружения с залами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600 и более мест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Спортивные сооружения: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с открытыми трибунами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30000 и более  мест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закрытые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5000 и более мест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Выставочные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1000 и более 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Лечебно-профилактические оздоровительные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500 и более койко-мест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В том числе детские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100 и более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Административно-общественные и другие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300 и более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Гостиницы общежития, мотели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300 и более, человек</w:t>
            </w:r>
          </w:p>
        </w:tc>
      </w:tr>
      <w:tr w:rsidR="003B1078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1078" w:rsidRDefault="003B1078">
            <w:r>
              <w:rPr>
                <w:sz w:val="20"/>
                <w:szCs w:val="20"/>
              </w:rPr>
              <w:t xml:space="preserve">* _Пожарная охрана на предприятиях и в организациях создается лишь в том случае, если все указанные характеристики одновременно соответствуют приведенным значениям. 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** Отнесение зданий, сооружений, наружных технологических установок предприятий к пожароопасным или взрывопожароопасным осуществляется в соответствии с действующими нормами проектирования и специальными перечнями, утвержденными в установленном порядке.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*** Балансовая стоимость имущества предприятия определяется в порядке, установленном Правительством Российской Федерации.</w:t>
            </w:r>
          </w:p>
        </w:tc>
      </w:tr>
    </w:tbl>
    <w:p w:rsidR="003B1078" w:rsidRDefault="003B1078" w:rsidP="003B1078">
      <w:pPr>
        <w:pStyle w:val="3"/>
      </w:pPr>
      <w:r>
        <w:rPr>
          <w:sz w:val="20"/>
          <w:szCs w:val="20"/>
        </w:rPr>
        <w:t>Приложение 2 (рекомендуемое)</w:t>
      </w:r>
    </w:p>
    <w:p w:rsidR="003B1078" w:rsidRDefault="003B1078" w:rsidP="003B1078">
      <w:pPr>
        <w:pStyle w:val="2"/>
      </w:pPr>
      <w:r>
        <w:rPr>
          <w:sz w:val="20"/>
          <w:szCs w:val="20"/>
        </w:rPr>
        <w:t>ПРИМЕРНАЯ ОРГАНИЗАЦИОННАЯ СТРУКТУРА   ПОЖАРНОЙ ОХРАНЫ ПРЕДПРИЯТИЯ</w:t>
      </w:r>
    </w:p>
    <w:p w:rsidR="003B1078" w:rsidRDefault="003B1078" w:rsidP="003B1078">
      <w:pPr>
        <w:pStyle w:val="a3"/>
      </w:pPr>
      <w:r>
        <w:rPr>
          <w:sz w:val="20"/>
          <w:szCs w:val="20"/>
        </w:rPr>
        <w:lastRenderedPageBreak/>
        <w:t> </w:t>
      </w:r>
      <w:r w:rsidR="00E22953">
        <w:rPr>
          <w:noProof/>
          <w:sz w:val="20"/>
          <w:szCs w:val="20"/>
        </w:rPr>
        <w:drawing>
          <wp:inline distT="0" distB="0" distL="0" distR="0">
            <wp:extent cx="6477000" cy="3048000"/>
            <wp:effectExtent l="19050" t="0" r="0" b="0"/>
            <wp:docPr id="1" name="i0" descr="view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" descr="viewIm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516"/>
      </w:tblGrid>
      <w:tr w:rsidR="003B1078">
        <w:trPr>
          <w:tblCellSpacing w:w="0" w:type="dxa"/>
        </w:trPr>
        <w:tc>
          <w:tcPr>
            <w:tcW w:w="0" w:type="auto"/>
          </w:tcPr>
          <w:p w:rsidR="003B1078" w:rsidRDefault="003B1078">
            <w:pPr>
              <w:pStyle w:val="3"/>
            </w:pPr>
            <w:r>
              <w:rPr>
                <w:sz w:val="20"/>
                <w:szCs w:val="20"/>
              </w:rPr>
              <w:t>Приложение 3 (справочное)</w:t>
            </w:r>
          </w:p>
          <w:p w:rsidR="003B1078" w:rsidRDefault="003B1078">
            <w:pPr>
              <w:pStyle w:val="2"/>
            </w:pPr>
            <w:r>
              <w:rPr>
                <w:sz w:val="20"/>
                <w:szCs w:val="20"/>
              </w:rPr>
              <w:t>МЕТОДИКА  ОПРЕДЕЛЕНИЯ КОЛИЧЕСТВА ПОЖАРНЫХ МАШИН, ТРЕБУЕМОГО ДЛЯ ОБЕСПЕЧЕНИЯ ПОДАЧИ ВОДЫ НА НУЖДЫ ПОЖАРОТУШЕНИЯ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Исходные данные: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нормативный расход воды на наружное пожаротушение для рассматриваемого предприятия Q</w:t>
            </w:r>
            <w:r>
              <w:rPr>
                <w:sz w:val="20"/>
                <w:szCs w:val="20"/>
                <w:vertAlign w:val="subscript"/>
              </w:rPr>
              <w:t>норм</w:t>
            </w:r>
            <w:r>
              <w:rPr>
                <w:sz w:val="20"/>
                <w:szCs w:val="20"/>
              </w:rPr>
              <w:t>. в соответствии с действующими нормами, регламентирующими расход воды на наружное пожаротушение (в частности СНиП 2.04-02-84, СНиП 2.11.06-91, СНиП 2.05.07-91, СНиП 2.11.01-85, СНиП 2.11.03-93, ВУПП-88 и др.);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линейная скорость распространения горения U для рассматриваемого объекта (табл. 1);</w:t>
            </w:r>
            <w:r>
              <w:rPr>
                <w:sz w:val="20"/>
                <w:szCs w:val="20"/>
              </w:rPr>
              <w:br/>
              <w:t>требуемая интенсивность J</w:t>
            </w:r>
            <w:r>
              <w:rPr>
                <w:sz w:val="20"/>
                <w:szCs w:val="20"/>
                <w:vertAlign w:val="subscript"/>
              </w:rPr>
              <w:t>тр</w:t>
            </w:r>
            <w:r>
              <w:rPr>
                <w:sz w:val="20"/>
                <w:szCs w:val="20"/>
              </w:rPr>
              <w:t>. подачи воды на тушение пожара (табл. 2);</w:t>
            </w:r>
            <w:r>
              <w:rPr>
                <w:sz w:val="20"/>
                <w:szCs w:val="20"/>
              </w:rPr>
              <w:br/>
              <w:t>дислокация подразделений гарнизона пожарной охраны с указанием расстояний до предприятия, количества и типов пожарных машин.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Допущения: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пожар обнаруживается в момент его возникновения;</w:t>
            </w:r>
            <w:r>
              <w:rPr>
                <w:sz w:val="20"/>
                <w:szCs w:val="20"/>
              </w:rPr>
              <w:br/>
              <w:t>локализация пожара обеспечивается при равенстве нормативного и фактического расхода воды на наружное пожаротушение;</w:t>
            </w:r>
            <w:r>
              <w:rPr>
                <w:sz w:val="20"/>
                <w:szCs w:val="20"/>
              </w:rPr>
              <w:br/>
              <w:t>динамика изменения площади пожара при недостаточной интенсивности подачи воды такая же, как при свободном развитии пожара.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1. На номограмме (см. рисунок) по требуемой интенсивности подачи воды J</w:t>
            </w:r>
            <w:r>
              <w:rPr>
                <w:sz w:val="20"/>
                <w:szCs w:val="20"/>
                <w:vertAlign w:val="subscript"/>
              </w:rPr>
              <w:t>тр</w:t>
            </w:r>
            <w:r>
              <w:rPr>
                <w:sz w:val="20"/>
                <w:szCs w:val="20"/>
              </w:rPr>
              <w:t>. и нормативному расходу на наружное пожаротушение Q</w:t>
            </w:r>
            <w:r>
              <w:rPr>
                <w:sz w:val="20"/>
                <w:szCs w:val="20"/>
                <w:vertAlign w:val="subscript"/>
              </w:rPr>
              <w:t>норм</w:t>
            </w:r>
            <w:r>
              <w:rPr>
                <w:sz w:val="20"/>
                <w:szCs w:val="20"/>
              </w:rPr>
              <w:t>. определяют расчетную площадь пожара F</w:t>
            </w:r>
            <w:r>
              <w:rPr>
                <w:sz w:val="20"/>
                <w:szCs w:val="20"/>
                <w:vertAlign w:val="subscript"/>
              </w:rPr>
              <w:t>рас</w:t>
            </w:r>
            <w:r>
              <w:rPr>
                <w:sz w:val="20"/>
                <w:szCs w:val="20"/>
              </w:rPr>
              <w:t>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2. По полученному значению расчетной площади тушения и линейной скорости распространения горения по формуле</w:t>
            </w:r>
            <w:r>
              <w:rPr>
                <w:sz w:val="20"/>
                <w:szCs w:val="20"/>
              </w:rPr>
              <w:br/>
              <w:t>t</w:t>
            </w:r>
            <w:r>
              <w:rPr>
                <w:sz w:val="20"/>
                <w:szCs w:val="20"/>
                <w:vertAlign w:val="subscript"/>
              </w:rPr>
              <w:t>соср</w:t>
            </w:r>
            <w:r>
              <w:rPr>
                <w:sz w:val="20"/>
                <w:szCs w:val="20"/>
              </w:rPr>
              <w:t>.= (F</w:t>
            </w:r>
            <w:r>
              <w:rPr>
                <w:sz w:val="20"/>
                <w:szCs w:val="20"/>
                <w:vertAlign w:val="subscript"/>
              </w:rPr>
              <w:t>рас</w:t>
            </w:r>
            <w:r>
              <w:rPr>
                <w:sz w:val="20"/>
                <w:szCs w:val="20"/>
              </w:rPr>
              <w:t>./ U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vertAlign w:val="superscript"/>
              </w:rPr>
              <w:t>0,5</w:t>
            </w:r>
            <w:r>
              <w:rPr>
                <w:sz w:val="20"/>
                <w:szCs w:val="20"/>
              </w:rPr>
              <w:t xml:space="preserve"> рассчитывают время, необходимое для сосредоточения требуемого количества пожарных машин.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3. Принимая скорость движения пожарных машин V</w:t>
            </w:r>
            <w:r>
              <w:rPr>
                <w:sz w:val="20"/>
                <w:szCs w:val="20"/>
                <w:vertAlign w:val="subscript"/>
              </w:rPr>
              <w:t>дв</w:t>
            </w:r>
            <w:r>
              <w:rPr>
                <w:sz w:val="20"/>
                <w:szCs w:val="20"/>
              </w:rPr>
              <w:t xml:space="preserve">.= </w:t>
            </w:r>
            <w:smartTag w:uri="urn:schemas-microsoft-com:office:smarttags" w:element="metricconverter">
              <w:smartTagPr>
                <w:attr w:name="ProductID" w:val="40 км/ч"/>
              </w:smartTagPr>
              <w:r>
                <w:rPr>
                  <w:sz w:val="20"/>
                  <w:szCs w:val="20"/>
                </w:rPr>
                <w:t>40 км/ч</w:t>
              </w:r>
            </w:smartTag>
            <w:r>
              <w:rPr>
                <w:sz w:val="20"/>
                <w:szCs w:val="20"/>
              </w:rPr>
              <w:t>, определяют радиус T= V</w:t>
            </w:r>
            <w:r>
              <w:rPr>
                <w:sz w:val="20"/>
                <w:szCs w:val="20"/>
                <w:vertAlign w:val="subscript"/>
              </w:rPr>
              <w:t>дв</w:t>
            </w:r>
            <w:r>
              <w:rPr>
                <w:sz w:val="20"/>
                <w:szCs w:val="20"/>
              </w:rPr>
              <w:t>. tсоср. и количество подразделений пожарной охраны, способных прибывать на предприятие за t</w:t>
            </w:r>
            <w:r>
              <w:rPr>
                <w:sz w:val="20"/>
                <w:szCs w:val="20"/>
                <w:vertAlign w:val="subscript"/>
              </w:rPr>
              <w:t>соср</w:t>
            </w:r>
            <w:r>
              <w:rPr>
                <w:sz w:val="20"/>
                <w:szCs w:val="20"/>
              </w:rPr>
              <w:t>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4. Суммируя тактико-технические данные пожарных машин, используемых для подачи воды на нужды пожаротушения, определяют фактический расход Qфакт.</w:t>
            </w:r>
          </w:p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5. Проводят сопоставление Q</w:t>
            </w:r>
            <w:r>
              <w:rPr>
                <w:sz w:val="20"/>
                <w:szCs w:val="20"/>
                <w:vertAlign w:val="subscript"/>
              </w:rPr>
              <w:t>норм</w:t>
            </w:r>
            <w:r>
              <w:rPr>
                <w:sz w:val="20"/>
                <w:szCs w:val="20"/>
              </w:rPr>
              <w:t>. и Q</w:t>
            </w:r>
            <w:r>
              <w:rPr>
                <w:sz w:val="20"/>
                <w:szCs w:val="20"/>
                <w:vertAlign w:val="subscript"/>
              </w:rPr>
              <w:t>факт.</w:t>
            </w:r>
            <w:r>
              <w:rPr>
                <w:sz w:val="20"/>
                <w:szCs w:val="20"/>
              </w:rPr>
              <w:t>. Если Q</w:t>
            </w:r>
            <w:r>
              <w:rPr>
                <w:sz w:val="20"/>
                <w:szCs w:val="20"/>
                <w:vertAlign w:val="subscript"/>
              </w:rPr>
              <w:t>норм</w:t>
            </w:r>
            <w:r>
              <w:rPr>
                <w:sz w:val="20"/>
                <w:szCs w:val="20"/>
              </w:rPr>
              <w:t>.&gt;Q</w:t>
            </w:r>
            <w:r>
              <w:rPr>
                <w:sz w:val="20"/>
                <w:szCs w:val="20"/>
                <w:vertAlign w:val="subscript"/>
              </w:rPr>
              <w:t>факт</w:t>
            </w:r>
            <w:r>
              <w:rPr>
                <w:sz w:val="20"/>
                <w:szCs w:val="20"/>
              </w:rPr>
              <w:t>., то пожарная охрана предприятия оснащается пожарными машинами в соответствии с требованиями разд. 5 настоящих норм.</w:t>
            </w:r>
          </w:p>
          <w:p w:rsidR="003B1078" w:rsidRDefault="003B1078">
            <w:pPr>
              <w:pStyle w:val="3"/>
            </w:pPr>
            <w:r>
              <w:rPr>
                <w:sz w:val="20"/>
                <w:szCs w:val="20"/>
              </w:rPr>
              <w:lastRenderedPageBreak/>
              <w:t>Таблица 3</w:t>
            </w:r>
          </w:p>
          <w:p w:rsidR="003B1078" w:rsidRDefault="003B1078">
            <w:pPr>
              <w:pStyle w:val="4"/>
            </w:pPr>
            <w:r>
              <w:rPr>
                <w:sz w:val="20"/>
                <w:szCs w:val="20"/>
              </w:rPr>
              <w:t>Линейная скорость распространения горения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7090"/>
              <w:gridCol w:w="3410"/>
            </w:tblGrid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Объекты, 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Скорость распространения горения, м/мин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1-1,5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Предприятия здравоохранения, здания I-III степени огнестойкости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0,6-1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Жилые эдания, гостиницы, здания I-III степени огнестойкости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0,5-0,8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Производственные цехи с помещениями категорий А, Б,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Материальные склады: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лаков, красок, растворителей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0,6-1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текстильных изделий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0,3-0,4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бумаги в рулонах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0,2-0,3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синтетического каучука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0,6-1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Сгораемые покрытия больших площадей (включая пустотные)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1,7-3,2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Научные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0,5-0,8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Предприятия культуры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Открытые технологические площадки (склады)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1-1,6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Древесина (доски в штабелях при толщине 2-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rPr>
                        <w:sz w:val="20"/>
                        <w:szCs w:val="20"/>
                      </w:rPr>
                      <w:t>4 см</w:t>
                    </w:r>
                  </w:smartTag>
                  <w:r>
                    <w:rPr>
                      <w:sz w:val="20"/>
                      <w:szCs w:val="20"/>
                    </w:rPr>
                    <w:t>) при влажности, %: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16-18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2,3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1,6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20-30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более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Круглый лес в штабелях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0,6-1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Резинотехнические изделия (штабели на открытых площадках)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1-1,2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Волокнистые материалы во взрыхленном состоянии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7-8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Электротехнические сооружения, вычислительные центры, объекты энергетики (при горении кабелей)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0,2-0,4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 Примечание. Для объектов, не вошедших в табл. 3, линейная скорость распространения горения должна приниматься по нормативно-технической документации либо определяться экспериментально.</w:t>
                  </w:r>
                </w:p>
              </w:tc>
            </w:tr>
          </w:tbl>
          <w:p w:rsidR="003B1078" w:rsidRDefault="003B1078">
            <w:pPr>
              <w:pStyle w:val="3"/>
            </w:pPr>
            <w:r>
              <w:rPr>
                <w:sz w:val="20"/>
                <w:szCs w:val="20"/>
              </w:rPr>
              <w:t>Таблица 4</w:t>
            </w:r>
          </w:p>
          <w:p w:rsidR="003B1078" w:rsidRDefault="003B1078">
            <w:pPr>
              <w:pStyle w:val="4"/>
            </w:pPr>
            <w:r>
              <w:rPr>
                <w:sz w:val="20"/>
                <w:szCs w:val="20"/>
              </w:rPr>
              <w:t>Интенсивность подачи воды на тушение пожара</w:t>
            </w:r>
          </w:p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7063"/>
              <w:gridCol w:w="3437"/>
            </w:tblGrid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Объекты, материалы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Интенсивность подачи воды, л/м</w:t>
                  </w:r>
                  <w:r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с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Административные здания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Предприятия здравоохранения, здания II-III степени огнестойкости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Жилые эдания, гостиницы, здания II-III степени огнестойкости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Производственные цехи с помещениями категорий А, Б,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0,06-0,2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Материальные склады: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лаков, красок, растворителей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0,1-0,15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текстильных изделий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0,1-0,15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бумаги в рулонах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0,15-0,2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синтетического каучука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0,1-0,15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Сгораемые покрытия больших площадей (включая пустотные)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Научные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Предприятия культуры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0,1-0,3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Открытые технологические площадки (склады):</w:t>
                  </w:r>
                  <w:r>
                    <w:rPr>
                      <w:sz w:val="20"/>
                      <w:szCs w:val="20"/>
                    </w:rPr>
                    <w:br/>
                    <w:t>древесина (доски в штабелях при толщине 2-</w:t>
                  </w:r>
                  <w:smartTag w:uri="urn:schemas-microsoft-com:office:smarttags" w:element="metricconverter">
                    <w:smartTagPr>
                      <w:attr w:name="ProductID" w:val="4 см"/>
                    </w:smartTagPr>
                    <w:r>
                      <w:rPr>
                        <w:sz w:val="20"/>
                        <w:szCs w:val="20"/>
                      </w:rPr>
                      <w:t>4 см</w:t>
                    </w:r>
                  </w:smartTag>
                  <w:r>
                    <w:rPr>
                      <w:sz w:val="20"/>
                      <w:szCs w:val="20"/>
                    </w:rPr>
                    <w:t>)   при влажности, %: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8-10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16-18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20-30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более 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круглый лес в штабелях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0,16-0,35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Резинотехнические изделия (штабели на открытых площадках)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0,15-0,2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Волокнистые материалы во взрыхленном состоянии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0,08-0,1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Электротехнические сооружения, вычислительные центры, объекты энергетики: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 горении кабелей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0,06-0,1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 горении маслонаполненного оборудования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0,2-0,3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Объекты транспорта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0,05-0,1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Объекты переработки нефти и газа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0,2-0,3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Объекты хранения нефти и нефтепродуктов (в резервуарах)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0,5-1</w:t>
                  </w:r>
                </w:p>
              </w:tc>
            </w:tr>
            <w:tr w:rsidR="003B1078">
              <w:trPr>
                <w:tblCellSpacing w:w="7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B1078" w:rsidRDefault="003B1078">
                  <w:pPr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Примечание. Для объектов, не вошедших в табл. 4, интенсивность подачи воды должна приниматься по нормативно-технической документации либо определяться экспериментально.</w:t>
                  </w:r>
                </w:p>
              </w:tc>
            </w:tr>
          </w:tbl>
          <w:p w:rsidR="003B1078" w:rsidRDefault="003B1078">
            <w:pPr>
              <w:pStyle w:val="a3"/>
            </w:pPr>
            <w:r>
              <w:rPr>
                <w:sz w:val="20"/>
                <w:szCs w:val="20"/>
              </w:rPr>
              <w:t>  </w:t>
            </w:r>
          </w:p>
          <w:p w:rsidR="003B1078" w:rsidRDefault="00E22953">
            <w:pPr>
              <w:pStyle w:val="imagebox"/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7067550" cy="4810125"/>
                  <wp:effectExtent l="0" t="0" r="0" b="0"/>
                  <wp:docPr id="2" name="i1" descr="view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1" descr="viewI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0" cy="481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078" w:rsidRDefault="003B1078" w:rsidP="003B1078">
      <w:pPr>
        <w:pStyle w:val="he2"/>
      </w:pPr>
    </w:p>
    <w:sectPr w:rsidR="003B1078" w:rsidSect="003B1078"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937BE"/>
    <w:rsid w:val="003B1078"/>
    <w:rsid w:val="00D937BE"/>
    <w:rsid w:val="00E2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D937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93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D937B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937B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937BE"/>
    <w:rPr>
      <w:b/>
      <w:bCs/>
    </w:rPr>
  </w:style>
  <w:style w:type="character" w:styleId="a5">
    <w:name w:val="Hyperlink"/>
    <w:basedOn w:val="a0"/>
    <w:rsid w:val="00D937BE"/>
    <w:rPr>
      <w:color w:val="0000FF"/>
      <w:u w:val="single"/>
    </w:rPr>
  </w:style>
  <w:style w:type="paragraph" w:customStyle="1" w:styleId="he2">
    <w:name w:val="he2"/>
    <w:basedOn w:val="a"/>
    <w:rsid w:val="003B1078"/>
    <w:pPr>
      <w:spacing w:before="100" w:beforeAutospacing="1" w:after="100" w:afterAutospacing="1"/>
    </w:pPr>
    <w:rPr>
      <w:color w:val="000000"/>
    </w:rPr>
  </w:style>
  <w:style w:type="paragraph" w:customStyle="1" w:styleId="npb">
    <w:name w:val="npb"/>
    <w:basedOn w:val="a"/>
    <w:rsid w:val="003B1078"/>
    <w:pPr>
      <w:spacing w:before="100" w:beforeAutospacing="1" w:after="100" w:afterAutospacing="1"/>
    </w:pPr>
    <w:rPr>
      <w:color w:val="000000"/>
    </w:rPr>
  </w:style>
  <w:style w:type="paragraph" w:customStyle="1" w:styleId="imagebox">
    <w:name w:val="imagebox"/>
    <w:basedOn w:val="a"/>
    <w:rsid w:val="003B1078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26645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ilnur</dc:creator>
  <cp:lastModifiedBy>Home</cp:lastModifiedBy>
  <cp:revision>2</cp:revision>
  <dcterms:created xsi:type="dcterms:W3CDTF">2016-07-04T15:47:00Z</dcterms:created>
  <dcterms:modified xsi:type="dcterms:W3CDTF">2016-07-04T15:47:00Z</dcterms:modified>
</cp:coreProperties>
</file>