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МИНИСТЕРСТВО РОССИЙСКОЙ ФЕДЕРАЦИИ ПО ДЕЛАМ ГРАЖДАНСКОЙ</w:t>
      </w:r>
    </w:p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ОБОРОНЫ, ЧРЕЗВЫЧАЙНЫМ СИТУАЦИЯМ И ЛИКВИДАЦИИ</w:t>
      </w:r>
    </w:p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ПОСЛЕДСТВИЙ СТИХИЙНЫХ БЕДСТВИЙ</w:t>
      </w:r>
    </w:p>
    <w:p w:rsidR="00811A6B" w:rsidRDefault="00811A6B">
      <w:pPr>
        <w:shd w:val="clear" w:color="auto" w:fill="FFFFFF"/>
        <w:ind w:firstLine="284"/>
        <w:jc w:val="center"/>
      </w:pPr>
    </w:p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ГОСУДАРСТВЕННАЯ ПРОТИВОПОЖАРНАЯ СЛУЖБА</w:t>
      </w:r>
    </w:p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szCs w:val="24"/>
        </w:rPr>
        <w:t>НОРМЫ ПОЖАРНОЙ БЕЗОПАСНОСТИ</w:t>
      </w:r>
    </w:p>
    <w:p w:rsidR="00811A6B" w:rsidRDefault="00811A6B">
      <w:pPr>
        <w:shd w:val="clear" w:color="auto" w:fill="FFFFFF"/>
        <w:ind w:firstLine="284"/>
        <w:jc w:val="center"/>
      </w:pP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7"/>
        </w:rPr>
        <w:t>ТЕХНИКА ПОЖАРНАЯ.</w:t>
      </w: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7"/>
        </w:rPr>
        <w:t>АВАРИЙНО-СПАСАТЕЛЬНЫЙ АВТОМОБИЛЬ.</w:t>
      </w: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7"/>
        </w:rPr>
        <w:t>ОБЩИЕ ТЕХНИЧЕСКИЕ ТРЕБОВАНИЯ.</w:t>
      </w:r>
    </w:p>
    <w:p w:rsidR="00811A6B" w:rsidRDefault="00811A6B">
      <w:pPr>
        <w:shd w:val="clear" w:color="auto" w:fill="FFFFFF"/>
        <w:ind w:firstLine="284"/>
        <w:jc w:val="center"/>
        <w:rPr>
          <w:bCs/>
          <w:color w:val="000000"/>
          <w:szCs w:val="27"/>
        </w:rPr>
      </w:pPr>
      <w:r>
        <w:rPr>
          <w:b/>
          <w:color w:val="000000"/>
          <w:szCs w:val="27"/>
        </w:rPr>
        <w:t>МЕТОДЫ ИСПЫТАНИЙ</w:t>
      </w:r>
    </w:p>
    <w:p w:rsidR="00811A6B" w:rsidRDefault="00811A6B">
      <w:pPr>
        <w:shd w:val="clear" w:color="auto" w:fill="FFFFFF"/>
        <w:ind w:firstLine="284"/>
        <w:jc w:val="center"/>
      </w:pPr>
    </w:p>
    <w:p w:rsidR="00811A6B" w:rsidRDefault="00811A6B">
      <w:pPr>
        <w:shd w:val="clear" w:color="auto" w:fill="FFFFFF"/>
        <w:ind w:firstLine="284"/>
        <w:jc w:val="center"/>
      </w:pPr>
      <w:r>
        <w:rPr>
          <w:color w:val="000000"/>
          <w:szCs w:val="24"/>
          <w:lang w:val="en-US"/>
        </w:rPr>
        <w:t>FIRE ENGINEERING. RESCUE VEHICLE.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  <w:lang w:val="en-US"/>
        </w:rPr>
        <w:t>GENERAL TECHNICAL REQUIREMENTS.</w:t>
      </w:r>
    </w:p>
    <w:p w:rsidR="00811A6B" w:rsidRDefault="00811A6B">
      <w:pPr>
        <w:shd w:val="clear" w:color="auto" w:fill="FFFFFF"/>
        <w:ind w:firstLine="284"/>
        <w:jc w:val="center"/>
      </w:pPr>
      <w:r>
        <w:rPr>
          <w:color w:val="000000"/>
          <w:szCs w:val="24"/>
          <w:lang w:val="en-US"/>
        </w:rPr>
        <w:t>TEST METHODS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7"/>
        </w:rPr>
        <w:t>НПБ 312-2003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right"/>
        <w:rPr>
          <w:i/>
        </w:rPr>
      </w:pPr>
      <w:r>
        <w:rPr>
          <w:i/>
          <w:color w:val="000000"/>
          <w:szCs w:val="22"/>
        </w:rPr>
        <w:t>Дата введения 1 апреля 2003 г.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aps/>
          <w:color w:val="000000"/>
          <w:szCs w:val="24"/>
        </w:rPr>
        <w:t>Разработаны</w:t>
      </w:r>
      <w:r>
        <w:rPr>
          <w:color w:val="000000"/>
          <w:szCs w:val="24"/>
        </w:rPr>
        <w:t xml:space="preserve"> Федеральным государственным учреждением «Всероссийский ордена "Знак Почета" научно-исследовательский институт противопожарной обороны»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aps/>
          <w:color w:val="000000"/>
          <w:szCs w:val="24"/>
        </w:rPr>
        <w:t>Внесены</w:t>
      </w:r>
      <w:r>
        <w:rPr>
          <w:color w:val="000000"/>
          <w:szCs w:val="24"/>
        </w:rPr>
        <w:t xml:space="preserve"> и подготовлены к утверждению отделом пожарной техники и вооружения Главного управления Государственной противопожарной службы (ГУГПС) МЧС России.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aps/>
          <w:color w:val="000000"/>
          <w:szCs w:val="24"/>
        </w:rPr>
        <w:t>Утверждены</w:t>
      </w:r>
      <w:r>
        <w:rPr>
          <w:color w:val="000000"/>
          <w:szCs w:val="24"/>
        </w:rPr>
        <w:t xml:space="preserve"> приказом ГУГПС МЧС России от 31 декабря 2002 г. № 59.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both"/>
        <w:rPr>
          <w:caps/>
        </w:rPr>
      </w:pPr>
      <w:r>
        <w:rPr>
          <w:caps/>
          <w:color w:val="000000"/>
          <w:szCs w:val="24"/>
        </w:rPr>
        <w:t>Вводятся впервые.</w:t>
      </w: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1. ОБЛАСТЬ ПРИМЕНЕНИЯ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1.1. Настоящие нормы пожарной безопасности (далее — нормы) устанавливают технические требования пожарной безопасности, а также методы испытаний вновь разрабатываемых и модернизируемых аварийно-спасательных автомобилей (АСА), создаваемых на шасси грузовых автомобилей, грузоподъемностью от 2 до 12 т, а также на базе автобусов.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1.2. Настоящие нормы применяются на стадиях разработки и изготовления АСА, а также при проведении сертификационных испытаний в Системе сертификации в области пожарной безопасности.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1.3. Требования к аварийно-спасательным автомобилям с грузоподъемностью базового шасси менее 2 т и использующих съемные кузова или контейнеры, которые комплектуются в зависимости от целевого назначения оборудования (на аварии или пожаре) и не отражены в разделе 3 настоящих норм, устанавливаются в нормативно-технической документации на конкретные модели.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6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6"/>
        </w:rPr>
      </w:pPr>
      <w:r>
        <w:rPr>
          <w:b/>
          <w:color w:val="000000"/>
          <w:szCs w:val="26"/>
        </w:rPr>
        <w:t>2. ТЕРМИНЫ, ОПРЕДЕЛЕНИЯ И ОБОЗНАЧЕНИЕ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2.1. В настоящих нормах используются следующие термины с соответствующими определениями.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Аварийно-спасательный автомобиль</w:t>
      </w:r>
      <w:r>
        <w:rPr>
          <w:bCs/>
          <w:color w:val="000000"/>
          <w:szCs w:val="24"/>
        </w:rPr>
        <w:t xml:space="preserve"> (АСА) — </w:t>
      </w:r>
      <w:r>
        <w:rPr>
          <w:color w:val="000000"/>
          <w:szCs w:val="24"/>
        </w:rPr>
        <w:t>автомобиль, предназначенный для проведения аварийно-спасательных работ (АСР) в жилых и административных зданиях любого назначения, на объектах промышленности и транспорта для доставки к месту аварии (пожара) боевого расчета, специального оборудования и инструмента, средств связи, освещения и защиты личного состава МЧС.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Главный параметр АСА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— один из основных параметров, определяющих функциональное </w:t>
      </w:r>
      <w:r>
        <w:rPr>
          <w:color w:val="000000"/>
          <w:szCs w:val="24"/>
        </w:rPr>
        <w:lastRenderedPageBreak/>
        <w:t>назначение пожарного автомобиля, отличающийся стабильностью при всех технических усовершенствованиях и используемый для определения числовых значений других основных параметров.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Базовое шасси АСА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— серийно выпускаемое автомобильное шасси, с доработкой кузова (салона) в целях приспособления его для выполнения специальных работ.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Полная масса АСА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— масса полностью заправленного (топливом, маслами, охлаждающей жидкостью и пр.), укомплектованного средствами индивидуальной защиты органов дыхания (СИЗОД), пожарно-техническим вооружением (ПТВ), запасным колесом, аварийно-спасательным инструментом, с боевым расчетом, включая водителя.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Электросиловая установка (ЭСУ) АСА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- совокупность агрегатов, силовых электрических линий и вспомогательного оборудования, предназначенных для производства, преобразования, трансформации, распределения и передачи потребителям электрической энергии.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Основной источник питания ЭСУ</w:t>
      </w:r>
      <w:r>
        <w:rPr>
          <w:bCs/>
          <w:color w:val="000000"/>
          <w:szCs w:val="24"/>
        </w:rPr>
        <w:t xml:space="preserve"> — </w:t>
      </w:r>
      <w:r>
        <w:rPr>
          <w:color w:val="000000"/>
          <w:szCs w:val="24"/>
        </w:rPr>
        <w:t>электроагрегат, в котором электрическая энергия производится путем преобразования химической энергии топлива с помощью двигателя внутреннего сгорания и приводимого им во вращение ротора генератора.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Внешний (автономный) источник питания</w:t>
      </w:r>
      <w:r>
        <w:rPr>
          <w:bCs/>
          <w:color w:val="000000"/>
          <w:szCs w:val="24"/>
        </w:rPr>
        <w:t xml:space="preserve"> — </w:t>
      </w:r>
      <w:r>
        <w:rPr>
          <w:color w:val="000000"/>
          <w:szCs w:val="24"/>
        </w:rPr>
        <w:t>дополнительный источник питания или промышленная сеть с регулировочными характеристиками, аналогичными по частоте и напряжению основному источнику питания.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b/>
          <w:color w:val="000000"/>
          <w:szCs w:val="24"/>
        </w:rPr>
        <w:t>Защитное отключение ЭСУ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— быстродействующая защита, обеспечивающая автоматическое отключение ЭСУ при возникновении в ней опасности поражения током.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2.2. Обозначение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Обозначение АСА должно иметь следующую структуру</w:t>
      </w:r>
      <w:r>
        <w:rPr>
          <w:color w:val="000000"/>
          <w:szCs w:val="24"/>
          <w:lang w:val="en-US"/>
        </w:rPr>
        <w:t>:</w:t>
      </w:r>
    </w:p>
    <w:p w:rsidR="00811A6B" w:rsidRDefault="00811A6B">
      <w:pPr>
        <w:shd w:val="clear" w:color="auto" w:fill="FFFFFF"/>
        <w:ind w:firstLine="284"/>
        <w:jc w:val="right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4830"/>
        <w:gridCol w:w="257"/>
        <w:gridCol w:w="168"/>
        <w:gridCol w:w="257"/>
        <w:gridCol w:w="218"/>
        <w:gridCol w:w="142"/>
        <w:gridCol w:w="349"/>
        <w:gridCol w:w="425"/>
        <w:gridCol w:w="426"/>
        <w:gridCol w:w="282"/>
        <w:gridCol w:w="284"/>
        <w:gridCol w:w="212"/>
        <w:gridCol w:w="213"/>
        <w:gridCol w:w="164"/>
        <w:gridCol w:w="142"/>
      </w:tblGrid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gridSpan w:val="2"/>
          </w:tcPr>
          <w:p w:rsidR="00811A6B" w:rsidRDefault="00811A6B">
            <w:pPr>
              <w:jc w:val="center"/>
            </w:pPr>
            <w:r>
              <w:t>ХХ-</w:t>
            </w:r>
          </w:p>
        </w:tc>
        <w:tc>
          <w:tcPr>
            <w:tcW w:w="360" w:type="dxa"/>
            <w:gridSpan w:val="2"/>
          </w:tcPr>
          <w:p w:rsidR="00811A6B" w:rsidRDefault="00811A6B">
            <w:pPr>
              <w:jc w:val="center"/>
            </w:pPr>
            <w:r>
              <w:t>ХХ</w:t>
            </w:r>
          </w:p>
        </w:tc>
        <w:tc>
          <w:tcPr>
            <w:tcW w:w="774" w:type="dxa"/>
            <w:gridSpan w:val="2"/>
          </w:tcPr>
          <w:p w:rsidR="00811A6B" w:rsidRDefault="00811A6B">
            <w:pPr>
              <w:jc w:val="center"/>
            </w:pPr>
            <w:r>
              <w:t>(ХХХХ)</w:t>
            </w:r>
          </w:p>
        </w:tc>
        <w:tc>
          <w:tcPr>
            <w:tcW w:w="426" w:type="dxa"/>
          </w:tcPr>
          <w:p w:rsidR="00811A6B" w:rsidRDefault="00811A6B">
            <w:pPr>
              <w:jc w:val="center"/>
            </w:pPr>
            <w:r>
              <w:t>мод</w:t>
            </w:r>
          </w:p>
        </w:tc>
        <w:tc>
          <w:tcPr>
            <w:tcW w:w="566" w:type="dxa"/>
            <w:gridSpan w:val="2"/>
          </w:tcPr>
          <w:p w:rsidR="00811A6B" w:rsidRDefault="00811A6B">
            <w:pPr>
              <w:jc w:val="center"/>
            </w:pPr>
            <w:r>
              <w:t>ХХХ</w:t>
            </w:r>
          </w:p>
        </w:tc>
        <w:tc>
          <w:tcPr>
            <w:tcW w:w="425" w:type="dxa"/>
            <w:gridSpan w:val="2"/>
          </w:tcPr>
          <w:p w:rsidR="00811A6B" w:rsidRDefault="00811A6B">
            <w:pPr>
              <w:jc w:val="center"/>
            </w:pPr>
            <w:r>
              <w:t>ХХ-</w:t>
            </w:r>
          </w:p>
        </w:tc>
        <w:tc>
          <w:tcPr>
            <w:tcW w:w="306" w:type="dxa"/>
            <w:gridSpan w:val="2"/>
          </w:tcPr>
          <w:p w:rsidR="00811A6B" w:rsidRDefault="00811A6B">
            <w:pPr>
              <w:jc w:val="center"/>
            </w:pPr>
            <w:r>
              <w:t>Х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  <w:rPr>
                <w:color w:val="000000"/>
                <w:szCs w:val="19"/>
              </w:rPr>
            </w:pPr>
          </w:p>
          <w:p w:rsidR="00811A6B" w:rsidRDefault="00811A6B">
            <w:pPr>
              <w:jc w:val="both"/>
            </w:pPr>
            <w:r>
              <w:rPr>
                <w:color w:val="000000"/>
                <w:szCs w:val="19"/>
              </w:rPr>
              <w:t>Тип пожарного автомобиля</w:t>
            </w:r>
          </w:p>
        </w:tc>
        <w:tc>
          <w:tcPr>
            <w:tcW w:w="257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8" w:type="dxa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8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49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6" w:type="dxa"/>
          </w:tcPr>
          <w:p w:rsidR="00811A6B" w:rsidRDefault="00811A6B">
            <w:pPr>
              <w:jc w:val="both"/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3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4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  <w:rPr>
                <w:color w:val="000000"/>
                <w:szCs w:val="19"/>
              </w:rPr>
            </w:pPr>
          </w:p>
          <w:p w:rsidR="00811A6B" w:rsidRDefault="00811A6B">
            <w:pPr>
              <w:jc w:val="both"/>
            </w:pPr>
            <w:r>
              <w:rPr>
                <w:color w:val="000000"/>
                <w:szCs w:val="19"/>
              </w:rPr>
              <w:t>Главный параметр АСА</w:t>
            </w: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8" w:type="dxa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49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6" w:type="dxa"/>
          </w:tcPr>
          <w:p w:rsidR="00811A6B" w:rsidRDefault="00811A6B">
            <w:pPr>
              <w:jc w:val="both"/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3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4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</w:pPr>
          </w:p>
          <w:p w:rsidR="00811A6B" w:rsidRDefault="00811A6B">
            <w:pPr>
              <w:jc w:val="both"/>
            </w:pPr>
            <w:r>
              <w:t>Индекс модели базового шасси</w:t>
            </w:r>
            <w:r>
              <w:rPr>
                <w:color w:val="000000"/>
                <w:szCs w:val="19"/>
              </w:rPr>
              <w:t xml:space="preserve"> по классификации автомобильной промышленности</w:t>
            </w: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49" w:type="dxa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6" w:type="dxa"/>
          </w:tcPr>
          <w:p w:rsidR="00811A6B" w:rsidRDefault="00811A6B">
            <w:pPr>
              <w:jc w:val="both"/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3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4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  <w:rPr>
                <w:color w:val="000000"/>
                <w:szCs w:val="19"/>
              </w:rPr>
            </w:pPr>
          </w:p>
          <w:p w:rsidR="00811A6B" w:rsidRDefault="00811A6B">
            <w:pPr>
              <w:jc w:val="both"/>
            </w:pPr>
            <w:r>
              <w:rPr>
                <w:color w:val="000000"/>
                <w:szCs w:val="19"/>
              </w:rPr>
              <w:t>Обозначение модели АСА в системе разработчика</w:t>
            </w: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2" w:type="dxa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2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3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4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  <w:rPr>
                <w:color w:val="000000"/>
                <w:szCs w:val="19"/>
              </w:rPr>
            </w:pPr>
          </w:p>
          <w:p w:rsidR="00811A6B" w:rsidRDefault="00811A6B">
            <w:pPr>
              <w:jc w:val="both"/>
            </w:pPr>
            <w:r>
              <w:rPr>
                <w:color w:val="000000"/>
                <w:szCs w:val="19"/>
              </w:rPr>
              <w:t>Две прописные буквы, указывающие название населенного пункта предприятия-изготовителя</w:t>
            </w: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3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4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0" w:type="dxa"/>
          </w:tcPr>
          <w:p w:rsidR="00811A6B" w:rsidRDefault="00811A6B">
            <w:pPr>
              <w:jc w:val="both"/>
              <w:rPr>
                <w:color w:val="000000"/>
                <w:szCs w:val="19"/>
              </w:rPr>
            </w:pPr>
          </w:p>
          <w:p w:rsidR="00811A6B" w:rsidRDefault="00811A6B">
            <w:pPr>
              <w:jc w:val="both"/>
            </w:pPr>
            <w:r>
              <w:rPr>
                <w:color w:val="000000"/>
                <w:szCs w:val="19"/>
              </w:rPr>
              <w:t>Обозначение нормативного документа (ГОСТ, ТУ)</w:t>
            </w: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7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13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64" w:type="dxa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</w:tbl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7"/>
        </w:rPr>
        <w:t>3. ТЕХНИЧЕСКИЕ ТРЕБОВАНИЯ ПОЖАРНОЙ БЕЗОПАСНОСТИ</w:t>
      </w: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7"/>
        </w:rPr>
        <w:t>К АВАРИЙНО-СПАСАТЕЛЬНОМУ АВТОМОБИЛЮ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3.1. Главный и основные параметры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3.1.1. В качестве главного параметра АСА принимают значение мощности основного источника питания, выбираемого из ряда: 8; 12; 16; 20; 30 кВт.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Другие значения главного параметра АСА (при необходимости) устанавливаются нормативно-технической документацией на конкретные модели.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3.1.2. Основные параметры АСА в соответствии с номенклатурой показателей назначения устанавливаются «Типажом пожарных автомобилей».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3.2. Общие технические требования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3.2.1. АСА должен состоять из следующих основных частей: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а) базового шасси с дополнительной трансмиссией для привода ЭСУ;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б) отсеков кузова для размещения стационарного и переносного аварийно-спасательного оборудования и пожарно-технического вооружения;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в) салона (кабины) для боевого расчета;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lastRenderedPageBreak/>
        <w:t>г) ЭСУ;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д) системы дополнительного электрооборудования;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е) стационарной осветительной мачты.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На некоторых типах АСА могут устанавливаться: стационарные лебедки; кран-манипулятор; съемные кузова или контейнеры, которые комплектуются в зависимости от целевого назначения оборудования.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3.2.2. Число мест для боевого расчета АСА должно быть не менее 3, включая место водителя.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3.2.3. Величина полной массы АСА не должна превышать 95 % от величины максимальной массы, установленной для базового шасси.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Для АСА, технические условия на которые утверждены до введения настоящих норм, допускается использование полной массы по согласованию с изготовителем базового шасси.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При определении массы боевого расчета исходят из массы одного человека (75 кг), включая водителя, плюс 10 кг персонального снаряжения на каждого члена боевого расчета.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3.2.4. Отношение номинальной мощности двигателя к полной массе АСА (удельная мощность) должно быть не менее 11 кВт/т (15 л.с./т).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Для АСА, технические условия на которые утверждены до введения настоящих норм, допускаются иные значения удельной мощности, но не менее 8,8 кВт/т (12 л.с./т).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3.2.5. Габаритные размеры АСА - по ГОСТ 22748 и в соответствии с нормативно-технической документацией на конкретную модель.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3.2.6. Климатическое исполнение АСА должно соответствовать У (УХЛ), категория размещения 1, для работы при температуре окружающей среды от 233 до 313 К (от минус 40 до 40°С), эксплуатация в атмосфере типов 1 и 2 по ГОСТ 15150, размещение в период оперативного ожидания по ГОСТ 12.4.009 (помещения с температурой воздуха не ниже 10 °С), если иное не предусмотрено требованиями к конкретной модели.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3.2.7. АСА должен быть оборудован противотуманными фарами и двумя фарами-искателями, одна из которых расположена на кабине водителя, другая — в задней части кузова. Управление передней фарой-искателем осуществляется из кабины, с рабочего места водителя. Требования к размещению и подключению противотуманных фар — по ГОСТ 25478.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3.2.8. Размещение и крепление оборудования, ЭСУ, СИЗОД и ПТВ на АСА должны обеспечивать безопасность и оперативность выполнения функциональных задач при боевом развертывании, а также во время движения, при техническом обслуживании и ремонте. Масса отдельных укладок имущества, предназначенного для переноски вручную при эксплуатации, не должна превышать 40 кг.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>3.2.9. Уровень вибрации на рабочих местах и на полу салона для боевого расчета АСА — в соответствии с ГОСТ 12.1.012.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3"/>
        </w:rPr>
        <w:t xml:space="preserve">3.2.10. Надежность АСА должна характеризоваться показателем </w:t>
      </w:r>
      <w:r>
        <w:rPr>
          <w:color w:val="000000"/>
          <w:szCs w:val="23"/>
        </w:rPr>
        <w:sym w:font="Symbol" w:char="F067"/>
      </w:r>
      <w:r>
        <w:rPr>
          <w:color w:val="000000"/>
          <w:szCs w:val="23"/>
        </w:rPr>
        <w:t xml:space="preserve"> гамма-процентной наработки (</w:t>
      </w:r>
      <w:r>
        <w:rPr>
          <w:color w:val="000000"/>
          <w:szCs w:val="23"/>
        </w:rPr>
        <w:sym w:font="Symbol" w:char="F067"/>
      </w:r>
      <w:r>
        <w:rPr>
          <w:color w:val="000000"/>
          <w:szCs w:val="23"/>
        </w:rPr>
        <w:t xml:space="preserve"> = 80 %) основного источника питания и его привода до капитального ремонта и составлять не менее 1500 ч.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3.2.11. В кабине и салоне АСА при закрытых окнах, люках и дверях система вентиляции должна обеспечивать избыточное давление и обмен воздуха в соответствии с требованиями ГОСТ Р 50993.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3.2.12. Углы свеса АСА должны быть не менее: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неполноприводное грузовое шасси — передний 20°, задний 15°;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полноприводное грузовое шасси — передний 25°, задний 25°;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автобуса — в зависимости от класса по ГОСТ 20774.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3.2.13. Угол поперечной устойчивости АСА в полной оперативной готовности должен быть не менее 30°.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3.2.14. Крупногабаритное оборудование (немеханизированный инструмент, надувная лодка и др.) допускается размещать на крыше АСА, при этом должно быть выполнено требование п. 3.2.6.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3.2.15. Для доступа к оборудованию, расположенному на крыше АСА, должна быть предусмотрена стационарная лестница с поручнями. Ступени лестницы должны быть шириной не менее 150 мм, расстояние между ступенями — не более 300 мм. Ступени лестницы должны иметь поверхность, обеспечивающую устойчивое положение ступни поднимающегося по ней человека.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3.2.16. Площадки на крыше, предназначенные для работы, должны иметь ограждение по периметру высотой не менее 100 мм, а также настил с покрытием, препятствующим скольжению.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3.2.17. Усилия на органах управления специальными агрегатами АСА не должны превышать </w:t>
      </w:r>
      <w:r>
        <w:rPr>
          <w:color w:val="000000"/>
          <w:szCs w:val="24"/>
        </w:rPr>
        <w:lastRenderedPageBreak/>
        <w:t>значений, установленных требованиями ГОСТ 21752 и ГОСТ 21753.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3.2.18. АСА должен быть укомплектован в целях обеспечения потребностей эксплуатации шасси автомобиля: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запасным колесом;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комплектом водительского инструмента;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двумя переносными огнетушителями (один порошковый с массой огнетушащего вещества не менее 5 кг, один углекислотный с массой заряда огнетушащего вещества не менее 5 кг);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знаком аварийной остановки по ГОСТ 24333 или выносным красным фонарем, работающим в мигающем режиме;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д) медицинской аптечкой (контейнером); 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двумя противооткатными упорами.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3.3. Требования к базовым шасси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3.3.1. Требования к шасси, поставляемым для изготовления АСА — в соответствии с п. 6.1.3 НПБ 163-97.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3.3.2. Шасси, поставляемые для изготовления АСА, должны быть сертифицированы.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3.4. Требования к кабине водителя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3.4.1. Кабина и рабочее место водителя должны соответствовать требованиям ГОСТ 12.2.032.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3.4.2. Рабочее место водителя АСА на базе автобуса должно быть изолировано от салона перегородкой или иметь ограждение.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3.4.3. Кабина АСА должна быть оборудована подножками и поручнями, если высота нижней кромки дверного проема более 650 мм от уровня дорожного полотна.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3.4.4. Внутренние замки дверей должны иметь устройство, исключающее возможность их самопроизвольного открытия во время движения АСА. Ручки запорных механизмов должны иметь травмобезопасную форму. Требования к замкам и петлям дверей — по ГОСТ 28443.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3.4.5. Двери должны иметь устройства, фиксирующие их в закрытом и открытом (не менее 75°) положениях.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3.4.6. Ширина рабочего пространства для водителя должна составлять не менее 800 мм.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3.4.7. Кабина, предназначенная для размещения водителя и личного состава, должна иметь внутреннюю ширину не менее 1700 мм, ширина сидений для каждого сидящего рядом с водителем — не менее 450 мм.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3.4.8. В кабине на панель приборов должна быть выведена световая индикация положения осветительной мачты и открытия отсеков, дверей.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3.4.9. Уровень освещенности в соответствии со СНиП 23-05 на рабочем месте водителя АСА должен быть не менее 30 лк на уровне 1 м от пола.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bCs/>
          <w:color w:val="000000"/>
          <w:szCs w:val="25"/>
        </w:rPr>
      </w:pPr>
      <w:r>
        <w:rPr>
          <w:b/>
          <w:bCs/>
          <w:color w:val="000000"/>
          <w:szCs w:val="25"/>
        </w:rPr>
        <w:t>3.5. Требования к салону (кабине)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3.5.1. Салон (кабина) АСА должен обеспечивать возможность оперативной посадки и высадки личного состава, удобство и безопасность его размещения, а также установку необходимого вывозимого оборудования, инструмента и ПТВ.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3.5.2. Салон АСА может состоять из двух отсеков, разделенных перегородкой и предназначенных для размещения: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личного состава;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аппаратуры, аварийно-спасательного инструмента, оборудования и ПТВ.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3.5.3. Конструкция и размеры отсеков салона должны обеспечивать установку необходимого оборудования и аппаратуры, возможность их обслуживания и демонтажа, а также организации необходимого количества рабочих мест, исходя из нормативно-технической документации на конкретную модель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3.5.4. Эргономические показатели организации рабочих мест должны соответствовать ГОСТ 12.2.032. Конструкция салона АСА должна обеспечивать сохранение жизненного пространства для личного состава при опрокидывании, лобовом столкновении, наездах сбоку и сзади.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3.5.5. Уровень шума в салоне АСА во время работы ЭСУ — по ГОСТ 51616-2000, на рабочих местах - по ГОСТ 27436 и ГОСТ 12.1.003.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3.5.6. Уровень освещенности прохода салона — не менее 20 лк, подножек и ступеней на уровне их поверхностей — не менее 10 лк, лицевых поверхностей электрощитов, пультов </w:t>
      </w:r>
      <w:r>
        <w:rPr>
          <w:color w:val="000000"/>
          <w:szCs w:val="24"/>
        </w:rPr>
        <w:lastRenderedPageBreak/>
        <w:t>управления ЭСУ — не менее 100 лк.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3.5.7. Оборудование и ПТВ в салоне необходимо размещать с учетом обеспечения требований пассивной безопасности для личного состава. Наличие острых кромок не допускается. Крепление сборочных единиц и деталей должно исключать их самопроизвольное перемещение во время движения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3.5.8. Схема размещения на АСА специального оборудования и аппаратуры должна обеспечивать оперативность боевого развертывания.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3.5.9. При размещении возимого оборудования и аппаратуры необходимо руководствоваться следующими принципами: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функционального применения, предусматривающего группировку оборудования по его функциям;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частоты использования — наиболее применяемые элементы оборудования должны находиться в самых удобных местах.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3.5.10. Управление дверьми салона боевого расчета на базе автобуса должно осуществляться с места водителя с помощью дистанционного привода. Дистанционный привод каждой двери должен дублироваться устройством, размещенным внутри салона на видном и доступном месте, вблизи от двери, которой оно управляет.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Двери салона боевого расчета, не имеющие дистанционного привода, должны быть снабжены запорным устройством, исключающим возможность их случайного открывания. АСА должны быть оснащены устройством, сигнализирующим водителю о положении дверей.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3.5.11. Доступ к аварийному выходу АСА должен быть свободен.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3.5.12. Окна должны быть оснащены светозащитными устройствами (шторами, жалюзи).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3.5.13. Для внутренней отделки (обивки) стенок и потолка салона для боевого расчета АСА должен применяться гладкий, светостойкий материал, допускающий влажную очистку и обработку дезинфицирующими средствами. Крепление обивки не должно иметь выступающих деталей и острых кромок. Пол салона, подножки и ступени должны иметь покрытие из влагостойкого и износоустойчивого материала с поверхностью, препятствующей скольжению.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3.5.14. Покрытие пола должно быть продолжено на стенки салона на высоту 150 — 200 мм с закруглениями в местах перехода от пола к стенкам и должно допускать мойку водой.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3.5.15. Система отопления салона АСА должна соответствовать требованиям ГОСТ Р 50993 и обеспечивать поддержание температуры в салоне не ниже 15 °С на уровне 1,5 м от пола при температуре окружающего воздуха минус 40 °С. Управление системой отопления должно осуществляться с места водителя.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3.5.16. Предельно допустимая концентрация вредных веществ в воздушной среде салона АСА должна соответствовать требованиям ГОСТ 12.1.005.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3.6. Требования к кузову АСА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Требования к кузову при изготовлении АСА — в соответствии с п. 6.1.16 НПБ 163-97.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3.7. Требования к комплектации АСА и размещению СИЗОД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3.7.1. ПТВ, аппаратура, оборудование и аварийно-спасательный инструмент, входящие в комплектацию АСА, должны быть сертифицированы в области пожарной безопасности и Системе сертификации в области чрезвычайных ситуаций.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Базовая комплектация АСА приведена в рекомендуемом приложении 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3.7.2. Для обеспечения безопасной работы в непригодной для дыхания среде АСА должен иметь необходимое оборудование и ПТВ в соответствии с Наставлением по газодымозащитной службе.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3.7.3. В комплектацию АСА должны входить инструмент и прибор для обслуживания и обеспечения проведения испытаний СИЗОД, дезинфицирующие средства, а также средства оказания первой доврачебной помощи пострадавшим и средства контроля состава воздушной среды.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3.8. Общие требования к крану-манипулятору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3.8.1. Кран-манипулятор должен обладать следующими техническими характеристиками: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грузоподъемность, т, не менее ..................................3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максимальный вылет стрелы относительно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оси вращения, м, не менее ........................................5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полный угол поворота крана, град, не менее...........360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3.8.2. Кран-манипулятор монтируется на заднем конце рамы шасси за кузовом.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3.8.3. Для обеспечения устойчивости АСА при работе крана-манипулятора необходимо предусмотреть телескопические опоры.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3.8.4. Управление работой крана-манипулятора должно осуществляться с пульта управления, размещенного в одном из отсеков кузова.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3.9. Общие требования к ЭСУ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3.9.1. Конструкция ЭСУ АСА должна отвечать требованиям ПУЭ.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3.9.2. На АСА может быть установлен счетчик моточасов.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3.9.3. В АСА следует предусматривать рабочее место для оператора ЭСУ с расположением, при необходимости, дублирующих приборов контроля работы двигателя.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3.9.4. ЭСУ АСА должна сохранять работоспособность при наклоне относительно горизонтальной поверхности до 10°.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3.9.5. Уровень радиопомех при работе ЭСУ — по ГОСТ 17822.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3.9.6. Крепление всех элементов ЭСУ должно исключать ослабление электрического контакта в соединениях во время движения или транспортирования АСА.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3.10. Требования к основным источникам питания АСА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3.10.1. В качестве основных источников питания ЭСУ АСА должны применяться генераторы трехфазного тока с приводом от двигателя базового шасси АСА. Используемые генераторы должны быть сертифицированы.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3.10.2. Основные номинальные параметры основных источников питания ЭСУ АСА должны соответствовать значениям, приведенным в таблице 1.</w:t>
      </w: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right"/>
        <w:rPr>
          <w:i/>
          <w:color w:val="000000"/>
          <w:szCs w:val="23"/>
        </w:rPr>
      </w:pPr>
      <w:r>
        <w:rPr>
          <w:i/>
          <w:color w:val="000000"/>
          <w:szCs w:val="23"/>
        </w:rPr>
        <w:t>Таблица 1</w:t>
      </w:r>
    </w:p>
    <w:p w:rsidR="00811A6B" w:rsidRDefault="00811A6B">
      <w:pPr>
        <w:shd w:val="clear" w:color="auto" w:fill="FFFFFF"/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45"/>
        <w:gridCol w:w="2464"/>
        <w:gridCol w:w="3260"/>
      </w:tblGrid>
      <w:tr w:rsidR="00811A6B">
        <w:tblPrEx>
          <w:tblCellMar>
            <w:top w:w="0" w:type="dxa"/>
            <w:bottom w:w="0" w:type="dxa"/>
          </w:tblCellMar>
        </w:tblPrEx>
        <w:tc>
          <w:tcPr>
            <w:tcW w:w="197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Напряжение, В</w:t>
            </w:r>
          </w:p>
        </w:tc>
        <w:tc>
          <w:tcPr>
            <w:tcW w:w="1843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Частота, Гц</w:t>
            </w:r>
          </w:p>
        </w:tc>
        <w:tc>
          <w:tcPr>
            <w:tcW w:w="243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Мощность, кВт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97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230</w:t>
            </w:r>
          </w:p>
        </w:tc>
        <w:tc>
          <w:tcPr>
            <w:tcW w:w="1843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50</w:t>
            </w:r>
          </w:p>
        </w:tc>
        <w:tc>
          <w:tcPr>
            <w:tcW w:w="243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8, 12, 16, 20, 30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97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230</w:t>
            </w:r>
          </w:p>
        </w:tc>
        <w:tc>
          <w:tcPr>
            <w:tcW w:w="1843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400</w:t>
            </w:r>
          </w:p>
        </w:tc>
        <w:tc>
          <w:tcPr>
            <w:tcW w:w="243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8, 16, 20, 30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97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400</w:t>
            </w:r>
          </w:p>
        </w:tc>
        <w:tc>
          <w:tcPr>
            <w:tcW w:w="1843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50</w:t>
            </w:r>
          </w:p>
        </w:tc>
        <w:tc>
          <w:tcPr>
            <w:tcW w:w="243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8, 12, 16, 20, 30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3.10.3. Номинальный коэффициент мощности основных источников питания при индуктивной нагрузке — не менее 0,8.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3.10.4. Основной источник питания на АСА должен устанавливаться в специальных отсеках или нишах и быть закрыт предохранительным кожухом, исключающим прикосновение к вращающимся и токоведущим частям.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3.10.5. Корпус основного источника питания должен иметь электрическую связь с шасси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3.10.6. Допускаемые величины индустриальных радиопомех (ИРП) оборудования и аппаратуры, устанавливаемых совместно со средствами радиосвязи, должны соответствовать ГОСТ 16842.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3.10.7. Основные источники питания АСА, при необходимости, должны быть оборудованы средствами помехоподавления. Введение средств помехоподавления в основной источник питания АСА не должно отрицательно влиять на его работоспособность. Длина соединительных проводников между помехообразующими элементами и помехоподавляющими средствами должна быть минимальной.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3.10.8. Температура поверхности основного источника питания при непрерывной 6-часовой работе в номинальном режиме должна соответствовать нормам завода-изготовителя.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3.11. Требования к электрическим параметрам и режимам ЭСУ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3.11.1. Номинальная мощность основных источников питания (п. 3.1.1 настоящих НПБ) АСА должна устанавливаться при следующих значениях факторов внешней среды: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атмосферное давление, кПа ...................................89,9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температура окружающего воздуха, К (°С) .........298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относительная влажность воздуха, % .....................70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3.11.2. Основные источники питания АСА должны допускать перегрузку по мощности на </w:t>
      </w:r>
      <w:r>
        <w:rPr>
          <w:color w:val="000000"/>
          <w:szCs w:val="24"/>
        </w:rPr>
        <w:lastRenderedPageBreak/>
        <w:t>10% выше номинальной (по току при номинальном коэффициенте мощности) в течение 1 ч. Повторные перегрузки допускаются по истечении 30-минутного перерыва, необходимого для установления нормального теплового режима.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Допустимая суммарная наработка в режиме перегрузки не должна превышать 10 % отработанного основным источником питания времени в пределах назначенного ресурса до капитального ремонта.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3.11.3. Нормы качества электрической энергии основных источников питания — в соответствии с ГОСТ 23377.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3.12. Требования к автоматизации ЭСУ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3.12.1. ЭСУ АСА должна иметь степень автоматизации по ГОСТ 10511, обеспечивающую: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стабилизацию выходных электрических параметров (напряжение, частота);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аварийно-предупредительную сигнализацию и аварийную защиту;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автоматическое поддержание нормальной работы после пуска и включения нагрузки, в том числе без дополнительного обслуживания (регулировки) и наблюдения в течение 6 ч.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3.12.2. Аварийно-предупредительная сигнализация и аварийная защита должны срабатывать при достижении предельных значений: сопротивления изоляции, давления масла, температуры охлаждающей жидкости и т. п. Кроме того, должны быть предусмотрены ручное отключение защиты и возможность работы при отключенной защите с соблюдением необходимых мер безопасности с применением защитных средств (диэлектрические перчатки, диэлектрические коврики и др.).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3.12.3. Система автоматизации ЭСУ АСА при возникновении аварийного режима должна обеспечивать подачу светового сигнала на щите управления, дублирующегося звуковым сигналом.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3.12.4. Регуляторы частоты вращения приводных двигателей основных источников питания, должны обеспечивать номинальную частоту вращения при любой нагрузке от 10 до 100 % номинальной мощности.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3.13. Требования устойчивости основных источников питания 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АСА при внешних воздействиях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3.13.1. Основные источники питания должны быть устойчивы к воздействию механических факторов внешней среды по группе М18 ГОСТ 17516.1.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3.13.2. Основные источники питания АСА должны допускать их эксплуатацию в следующих условиях: 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температура окружающего 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воздуха, К (°С) .............................................................. от 233 К (минус 40 °С) до 313 К (40 °С)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относительная влажность воздуха при 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температуре 298 К (25 °С), не более ...........................98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дождь интенсивностью, мм/мин, не более .................3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скорость воздушного потока, м/с, не более ................30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запыленность воздуха, г/м</w:t>
      </w:r>
      <w:r>
        <w:rPr>
          <w:color w:val="000000"/>
          <w:szCs w:val="24"/>
          <w:vertAlign w:val="superscript"/>
        </w:rPr>
        <w:t>3</w:t>
      </w:r>
      <w:r>
        <w:rPr>
          <w:color w:val="000000"/>
          <w:szCs w:val="24"/>
        </w:rPr>
        <w:t>, не более ..........................0,5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3.13.3. Основные источники питания должны сохранять работоспособность после преодоления АСА брода, допустимого для его базового шасси.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3.14. Требования к силовым цепям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3.14.1. Класс точности электроизмерительных приборов, устанавливаемых в силовых цепях основных источников питания для измерения тока, напряжения и мощности, должен быть не ниже 2,5, а для измерения частоты и сопротивления изоляции — не ниже 4,0.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3.14.2. Схемы силовых цепей должны состоять из цепей, выделенных по функциональному назначению: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силовой коммутации;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измерения, контроля напряжения и сигнализации;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приборов электробезопасности;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регулирования напряжения.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3.14.3. Цепи силовой коммутации должны обеспечивать передачу электроэнергии от основного источника питания к потребителю, а также защиту основного источника питания от коротких замыканий и недопустимых перегрузок по току.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3.14.4. Цепи силовой коммутации должны обеспечивать: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автономную работу основного источника питания;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питание потребителя от внешнего источника питания через выводной щит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3.14.5. Цепи силовой коммутации должны включать в себя: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линию основного источника питания, рассчитанную на передачу потребителю 100 %-й мощности. В линии основного источника питания должен быть установлен аппарат, обеспечивающий коммутацию линии и защиту основного источника питания от токов короткого замыкания и перегрузки;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линию сети для подключения внешнего источника питания (только для источников питания частотой 50 Гц — в соответствии с таблицей 2 настоящих НПБ).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3.15. Требования к щитам управления работой ЭСУ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3.15.1. Конструкция ЭСУ должна включать в себя: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щит управления работой двигателя (УД) привода основного источника питания;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б) силовой распределительный щит (СР);</w:t>
      </w:r>
    </w:p>
    <w:p w:rsidR="00811A6B" w:rsidRDefault="00811A6B">
      <w:pPr>
        <w:shd w:val="clear" w:color="auto" w:fill="FFFFFF"/>
        <w:ind w:firstLine="284"/>
        <w:jc w:val="both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284"/>
        <w:gridCol w:w="1638"/>
        <w:gridCol w:w="1046"/>
        <w:gridCol w:w="1046"/>
        <w:gridCol w:w="1046"/>
        <w:gridCol w:w="327"/>
        <w:gridCol w:w="283"/>
        <w:gridCol w:w="436"/>
        <w:gridCol w:w="1046"/>
        <w:gridCol w:w="1047"/>
      </w:tblGrid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</w:tcPr>
          <w:p w:rsidR="00811A6B" w:rsidRDefault="00811A6B">
            <w:pPr>
              <w:jc w:val="both"/>
            </w:pPr>
          </w:p>
        </w:tc>
        <w:tc>
          <w:tcPr>
            <w:tcW w:w="1922" w:type="dxa"/>
            <w:gridSpan w:val="2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4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7"/>
              </w:rPr>
              <w:t>Система управления работой ЭСУ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7" w:type="dxa"/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0" w:type="dxa"/>
          </w:tcPr>
          <w:p w:rsidR="00811A6B" w:rsidRDefault="00811A6B">
            <w:pPr>
              <w:jc w:val="both"/>
            </w:pPr>
          </w:p>
        </w:tc>
        <w:tc>
          <w:tcPr>
            <w:tcW w:w="1922" w:type="dxa"/>
            <w:gridSpan w:val="2"/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</w:tcPr>
          <w:p w:rsidR="00811A6B" w:rsidRDefault="00811A6B">
            <w:pPr>
              <w:jc w:val="both"/>
            </w:pPr>
          </w:p>
        </w:tc>
        <w:tc>
          <w:tcPr>
            <w:tcW w:w="1047" w:type="dxa"/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92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Щит управления работой двигателя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3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Силовой распределительный щит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</w:tcPr>
          <w:p w:rsidR="00811A6B" w:rsidRDefault="00811A6B">
            <w:pPr>
              <w:jc w:val="both"/>
            </w:pPr>
          </w:p>
        </w:tc>
        <w:tc>
          <w:tcPr>
            <w:tcW w:w="1046" w:type="dxa"/>
          </w:tcPr>
          <w:p w:rsidR="00811A6B" w:rsidRDefault="00811A6B">
            <w:pPr>
              <w:jc w:val="both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Приборы и органы управления шасси автомобиля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Приборы электробезопасности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Приборы и органы управления автономным двигателем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5"/>
              </w:rPr>
              <w:t>Защита от токов короткого замыкания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Приборы измерения, контроля и сигнализации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Контроль сопротивления изоляции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Приборы ограничения уровня радиопомех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  <w:r>
              <w:rPr>
                <w:color w:val="000000"/>
                <w:szCs w:val="15"/>
              </w:rPr>
              <w:t>Защита от токов утечки "фаза - корпус"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</w:tcPr>
          <w:p w:rsidR="00811A6B" w:rsidRDefault="00811A6B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2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1046" w:type="dxa"/>
          </w:tcPr>
          <w:p w:rsidR="00811A6B" w:rsidRDefault="00811A6B">
            <w:pPr>
              <w:jc w:val="center"/>
            </w:pPr>
          </w:p>
        </w:tc>
        <w:tc>
          <w:tcPr>
            <w:tcW w:w="327" w:type="dxa"/>
          </w:tcPr>
          <w:p w:rsidR="00811A6B" w:rsidRDefault="00811A6B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  <w:tc>
          <w:tcPr>
            <w:tcW w:w="2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jc w:val="center"/>
            </w:pPr>
          </w:p>
        </w:tc>
      </w:tr>
    </w:tbl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center"/>
        <w:rPr>
          <w:i/>
          <w:color w:val="000000"/>
          <w:szCs w:val="21"/>
          <w:lang w:val="en-US"/>
        </w:rPr>
      </w:pPr>
      <w:r>
        <w:rPr>
          <w:i/>
          <w:color w:val="000000"/>
          <w:szCs w:val="21"/>
        </w:rPr>
        <w:t>Структура системы управления работой ЭСУ АСА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3.15.2. В состав щита УД должны входить: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приборы контроля режима работы двигателя, частоты вращения вала привода, температуры жидкости в системе охлаждения, давления масла и другие приборы в зависимости от типа привода;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органы управления работой сцепления, регулятор частоты вращения коленчатого вала, включения коробки отбора мощности и другие, в зависимости от конструктивного исполнения ЭСУ;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  <w:lang w:val="en-US"/>
        </w:rPr>
      </w:pPr>
      <w:r>
        <w:rPr>
          <w:color w:val="000000"/>
          <w:szCs w:val="24"/>
        </w:rPr>
        <w:t xml:space="preserve">в) средства индикации и графической информации применительно к типу привода и конструктивному исполнению ЭСУ. 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3.15.3. В состав щита СР должны входить: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приборы измерения контроля изоляции;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органы управления работой основного источника питания;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органы управления коммутацией электрической энергии;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приборы электробезопасности;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распределительные устройства;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средства индикации и графической информации;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ж) приборы ограничения уровня радиопомех.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3.15.4. Для обеспечения электробезопасности личного состава, обслуживающего ЭСУ, щиты должны быть оборудованы приборами визуального наблюдения, а также устройством постоянного контроля сопротивления изоляции (УПКИ) и устройством защитного отключения (УЗО), позволяющими работать с электросиловым оборудованием без устройства защитного заземления.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3.15.5. Распределительные устройства должны состоять из розеток отбора электроэнергии, </w:t>
      </w:r>
      <w:r>
        <w:rPr>
          <w:color w:val="000000"/>
          <w:szCs w:val="24"/>
        </w:rPr>
        <w:lastRenderedPageBreak/>
        <w:t>коммутационных устройств и световой индикации о наличии напряжения на розетках.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3.16. Требования к приемникам электроэнергии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3.16.1. Рабочее напряжение приемников электроэнергии должно быть не более 230 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3.16.2. Корпуса стационарных приемников электроэнергии должны иметь электрическую связь с шасси АСА. Переносные приемники электроэнергии, должны подключаться к ЭСУ через УЗО.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3.16.3. Суммарная мощность, одновременно потребляемая стационарными и переносными приемниками электроэнергии по основным схемам работы, не должна превышать 90 % номинальной мощности основного источника питания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3.16.4. Разъемы (штепсельные соединения) должны иметь недоступные для личного состава токоведущие части и специальный контакт с жилой кабеля, соединяющего корпус приемника электроэнергии с УЗО.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3.16.5. Присоединение корпуса приемника электроэнергии к УЗО должно осуществляться через специальную жилу переносного кабеля. Эта жила должна находиться в общей оболочке кабеля, но не должна выполнять функции проводника рабочего тока.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3.17. Требования к разветвительным коробкам и кабельным катушкам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3.17.1. Конструкция разветвительных коробок должна иметь степень защиты, соответствующую </w:t>
      </w:r>
      <w:r>
        <w:rPr>
          <w:color w:val="000000"/>
          <w:szCs w:val="24"/>
          <w:lang w:val="en-US"/>
        </w:rPr>
        <w:t xml:space="preserve">IP45 </w:t>
      </w:r>
      <w:r>
        <w:rPr>
          <w:color w:val="000000"/>
          <w:szCs w:val="24"/>
        </w:rPr>
        <w:t>по ГОСТ 14254.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3.17.2. Розетки разветвительных коробок должны иметь заглушки для защиты от попадания влаги и грязи.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3.17.3. На разветвительных коробках должна быть предусмотрена световая сигнализация наличия на них напряжения.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3.17.4. Конструкция разветвительных коробок должна обеспечивать возможность их установки на специальные подставки высотой не менее 300 мм.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3.17.5. АСА должен комплектоваться переносными катушками с силовым кабелем длиной от 25 до 40 м и стационарными катушками с магистральным кабелем длиной от 90 до 100 м. Сечение кабеля должно быть не менее 2,5 мм</w:t>
      </w:r>
      <w:r>
        <w:rPr>
          <w:color w:val="000000"/>
          <w:szCs w:val="24"/>
          <w:vertAlign w:val="superscript"/>
        </w:rPr>
        <w:t>2</w:t>
      </w:r>
      <w:r>
        <w:rPr>
          <w:color w:val="000000"/>
          <w:szCs w:val="24"/>
        </w:rPr>
        <w:t>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3.17.6. Кабельные катушки необходимо конструктивно выполнять таким образом, чтобы исключалась возможность контакта корпусов разъемов кабеля с поверхностью земли.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3.17.7. Переносные кабельные катушки должны быть оборудованы ремнем для переноски.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3.17.8. Разъемы электрических кабелей между приемниками источников электроэнергии должны иметь соединения, исключающие их самопроизвольное отключение.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3.18. Требования безопасности АСА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3.18.1. Электробезопасность АСА должна соответствовать требованиям ГОСТ 12.2.037.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3.18.2. Конструкция ЭСУ АСА должна обеспечивать безопасность обслуживающего персонала от поражения электрическим током в соответствии с ГОСТ 12.1.019 и ГОСТ 12.2.037, от травмирования вращающимися и подвижными частями и получения ожогов от частей, нагретых до высокой температуры.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3.18.3. Степень защиты конструкции ЭСУ должна соответствовать </w:t>
      </w:r>
      <w:r>
        <w:rPr>
          <w:color w:val="000000"/>
          <w:szCs w:val="24"/>
          <w:lang w:val="en-US"/>
        </w:rPr>
        <w:t xml:space="preserve">IP44 </w:t>
      </w:r>
      <w:r>
        <w:rPr>
          <w:color w:val="000000"/>
          <w:szCs w:val="24"/>
        </w:rPr>
        <w:t>по ГОСТ 14254.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3.18.4. Схема электрических соединений ЭСУ АСА переменного трехфазного тока должна иметь изолированную нейтраль (при соединении обмоток основного источника питания по схеме «звезда» с выведенной нулевой точкой).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3.18.5. Не допускается применять какие-либо устройства, создающие электрическую связь фазных проводов или нейтрали с корпусом либо землей как непосредственно, так и через искусственную нулевую точку (кроме устройства для подавления помех радиоприему).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3.18.6. Основной источник питания АСА должен быть оборудован УПКИ, а приемники электроэнергии следует подключать к основному источнику питания через УЗО.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3.18.7. УПКИ должно контролировать сопротивление изоляции относительно земли (корпуса) находящейся под рабочим напряжением ЭСУ в целом, оценивать величину сопротивления изоляции и обеспечивать световую и звуковую сигнализацию, действующую при снижении уровня сопротивления изоляции ниже установленной величины.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3.18.8. УПКИ в ЭСУ следует устанавливать на основном источнике питания перед главным коммутационным аппаратом. В цепи присоединения УПКИ к ЭСУ не допускается установка аппаратов, которыми она может быть разорвана.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3.18.9. Для обеспечения безопасности работы личного состава сопротивление изоляции относительно земли всей работающей (находящейся под напряжением) электроустановки в целом, измеренное с помощью УПКИ, должно иметь значения не ниже приведенных в таблице 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3.18.10. УЗО должно обеспечивать селективное отключение фазных проводов до ввода в розетки распределительного щита.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3.18.11. Для обеспечения безопасности работы личного состава АСА УЗО должно соответствовать НПБ 179 и обесточивать аварийные участки при значениях токов утечки, приведенных в таблице 3.</w:t>
      </w: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  <w:lang w:val="en-US"/>
        </w:rPr>
      </w:pPr>
    </w:p>
    <w:p w:rsidR="00811A6B" w:rsidRDefault="00811A6B">
      <w:pPr>
        <w:shd w:val="clear" w:color="auto" w:fill="FFFFFF"/>
        <w:ind w:firstLine="284"/>
        <w:jc w:val="right"/>
        <w:rPr>
          <w:i/>
          <w:color w:val="000000"/>
          <w:szCs w:val="22"/>
          <w:lang w:val="en-US"/>
        </w:rPr>
      </w:pPr>
      <w:r>
        <w:rPr>
          <w:i/>
          <w:color w:val="000000"/>
          <w:szCs w:val="22"/>
        </w:rPr>
        <w:t>Таблица 2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1321"/>
        <w:gridCol w:w="1259"/>
        <w:gridCol w:w="1134"/>
        <w:gridCol w:w="4655"/>
      </w:tblGrid>
      <w:tr w:rsidR="00811A6B">
        <w:tblPrEx>
          <w:tblCellMar>
            <w:top w:w="0" w:type="dxa"/>
            <w:bottom w:w="0" w:type="dxa"/>
          </w:tblCellMar>
        </w:tblPrEx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Род тока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Напряжение,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Частота тока, Гц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Минимальное допустимое сопротивление изоляции ЭСУ относительно земли (корпуса), кОм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Переменный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46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10,0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465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20,0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2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230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400</w:t>
            </w:r>
          </w:p>
        </w:tc>
        <w:tc>
          <w:tcPr>
            <w:tcW w:w="465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50,0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  <w:lang w:val="en-US"/>
        </w:rPr>
      </w:pPr>
    </w:p>
    <w:p w:rsidR="00811A6B" w:rsidRDefault="00811A6B">
      <w:pPr>
        <w:shd w:val="clear" w:color="auto" w:fill="FFFFFF"/>
        <w:ind w:firstLine="284"/>
        <w:jc w:val="right"/>
        <w:rPr>
          <w:i/>
          <w:color w:val="000000"/>
          <w:szCs w:val="22"/>
          <w:lang w:val="en-US"/>
        </w:rPr>
      </w:pPr>
      <w:r>
        <w:rPr>
          <w:i/>
          <w:color w:val="000000"/>
          <w:szCs w:val="22"/>
        </w:rPr>
        <w:t>Таблица 3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5273"/>
        <w:gridCol w:w="1559"/>
        <w:gridCol w:w="1537"/>
      </w:tblGrid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Параметр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Частота тока, Гц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400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Ток утечки (чувствительность защиты), А,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0,05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0,01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Продолжительность отключения, с, не более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0,05</w:t>
            </w:r>
          </w:p>
        </w:tc>
        <w:tc>
          <w:tcPr>
            <w:tcW w:w="153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0,05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3.18.12. Конструкции УЗО и УПКИ должны обеспечивать проверку их работы при создаваемых искусственно утечках токов на корпуса потребителей для любых из линий. Для этих целей в конструкции УЗО должна быть предусмотрена схема контроля линий, включение которых вызывает искусственное замыкание.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3.18.13. ЭСУ АСА должна иметь заземляющие зажимы для подключения защитного и рабочего заземления и знаки заземления, выполненные по ГОСТ 21130.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3.18.14. АСА должен быть укомплектован стержневым заземлителем, изготовленным в соответствии с ГОСТ 16556. Комплект заземлителя с устройством для забивки его в грунт и извлечения из грунта должен состоять из стержня с зажимом, замка и молота.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3.18.15. Переходное сопротивлением между стержнем и заземляющими проводниками не должно превышать 600 мкОм.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3.18.16. Заземляющее устройство должно обеспечивать сопротивление растеканию не более 25 Ом.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3.19. Требования к осветительной мачте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3.19.1. В целях увеличения зоны освещения места аварии (пожара) АСА должен быть оборудован осветительной мачтой для подъема прожекторов на высоту не менее 8 м от поверхности земли.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3.19.2. Для подъема (опускания) мачты на заданную высоту она должна быть оснащена приводом (электрическим, гидравлическим, пневматическим). В технически обоснованных случаях мачта может быть оборудована механическим (ручным) приводом подъема.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3.19.3. Независимо от типа привода мачта должна иметь тормоз, фиксирующий ее на заданной высоте.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3.19.4. Конструкция мачты должна допускать ее эксплуатацию без растяжек при скорости ветра до 10 м/с.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3.19.5. Мачта должна быть оборудована механизмом ориентации (поворотным устройством) прожекторов в пространстве с дистанционным приводом в двух плоскостях: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по горизонтали не менее ± 90°;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по вертикали не менее ± 45°.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3.19.6. Суммарная мощность прожекторов, расположенных на мачте, должна быть не менее 3 кВт. Конструкция прожекторов должна иметь степень защиты </w:t>
      </w:r>
      <w:r>
        <w:rPr>
          <w:color w:val="000000"/>
          <w:szCs w:val="24"/>
          <w:lang w:val="en-US"/>
        </w:rPr>
        <w:t xml:space="preserve">IP45 </w:t>
      </w:r>
      <w:r>
        <w:rPr>
          <w:color w:val="000000"/>
          <w:szCs w:val="24"/>
        </w:rPr>
        <w:t>по ГОСТ 14254.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lastRenderedPageBreak/>
        <w:t>3.20. Конструктивные требования к АСА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3.20.1. Конструктивные требования, предъявляемые при изготовлении АСА, — в соответствии с п. 6.1.13 НПБ 163-97.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3.21. Требования охраны окружающей среды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3.21.1. Выбрасывание и вытекание смазки, топлива, охлаждающей, тормозной и других жидкостей из любого агрегата, узла или через соединения не допускается.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3.21.2. Требования к создаваемому шуму в движении и при стационарной работе - по ГОСТ 27435 и ГОСТ 27436.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3.21.3. Огнетушащие вещества, используемые на АСА, должны обладать свойствами естественной утилизации без нанесения ущерба окружающей среде.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3.22. Маркировка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3.22.1. Во всех АСА в кабине водителя должна быть установлена маркировочная табличка в соответствии с ОСТ 37.001.269 — 96.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  <w:lang w:val="en-US"/>
        </w:rPr>
      </w:pPr>
      <w:r>
        <w:rPr>
          <w:b/>
          <w:color w:val="000000"/>
          <w:szCs w:val="27"/>
        </w:rPr>
        <w:t>3.23. Упаковка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3.23.1. Полностью упакованный АСА должен отправляться потребителю в собранном виде без упаковки.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3.23.2. Эксплуатационная и сопроводительная документация должна быть упакована в соответствии с ГОСТ 23170 и техническими условиями на конкретную модель.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3.23.3. Перед отправкой потребителю АСА должен быть подвергнут пломбированию. Места пломбирования и виды пломб должны быть указаны в технических условиях на конкретную модель.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Перед пломбированием и отгрузкой предприятие-изготовитель должно: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руководствоваться требованиями по транспортировке базового шасси;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слить воду из системы охлаждения и омывателя стекол (антифриз допускается не сливать);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отключить аккумуляторную батарею;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выпустить воздух из пневмосистемы шасси;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 топливный бак шасси залить топливо, гарантирующее пробег 50 км. Пробка топливного бака должна быть исправна, плотно закрыта и опломбирована;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на лобовое стекло кабины с внутренней стороны приклеить ярлык с указанием об удалении охлаждающей жидкости из системы охлаждения, воды из омывателя стекол, воздуха из пневмоприводов, об отключении и состоянии аккумуляторной батареи (с электролитом, без электролита) и о смазке в двигателе и силовых передачах (летняя, зимняя);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заправить техническим спиртом вне зависимости от времени года тормозную систему (на тех АСА, где это предусмотрено технической документацией на базовое шасси).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 случае получения потребителем изделия непосредственно на заводе-изготовителе указанные подготовительные мероприятия не проводятся.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3.23.4. Дополнительные требования к упаковке АСА, предназначенных для экспорта, должны оговариваться контрактом или договором на конкретную модель.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6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6"/>
          <w:lang w:val="en-US"/>
        </w:rPr>
      </w:pPr>
      <w:r>
        <w:rPr>
          <w:b/>
          <w:color w:val="000000"/>
          <w:szCs w:val="26"/>
        </w:rPr>
        <w:t>4. ПРАВИЛА ПРИЕМКИ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Для проверки соответствия АСА требованиям настоящих норм и технических условий на конкретную модель проводятся следующие виды испытаний: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предварительные (заводские);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приемочные;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квалификационные;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сертификационные;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предъявительские;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приемо-сдаточные;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ж) периодические;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з) испытания на надежность;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и) типовые;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к) эксплуатационные;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л) специальные.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Определения видов испытаний - по ГОСТ 16504.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АСА, предъявляемые на испытания, должны быть полностью собраны, отрегулированы, заправлены горюче-смазочными материалами, укомплектованы ПТВ и специальным оборудованием в соответствии с нормативно-технической документацией.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Комплектующие изделия и материалы перед установкой на АСА должны пройти входной контроль в соответствии с ГОСТ 24297.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6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6"/>
          <w:lang w:val="en-US"/>
        </w:rPr>
      </w:pPr>
      <w:r>
        <w:rPr>
          <w:b/>
          <w:color w:val="000000"/>
          <w:szCs w:val="26"/>
        </w:rPr>
        <w:t>4.1. Предварительные испытания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4.1.1. Предварительные испытания АСА должны проводиться предприятием-изготовителем в целях определения возможности предъявления опытного образца на приемочные испытания.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4.1.2. Программа предварительных испытаний должна включать в себя проверку всех обязательных показателей и характеристик, указанных в настоящих нормах, а также контроль выполнения других требований, если они имеются в техническом задании на конкретную модель АСА.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6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6"/>
          <w:lang w:val="en-US"/>
        </w:rPr>
      </w:pPr>
      <w:r>
        <w:rPr>
          <w:b/>
          <w:color w:val="000000"/>
          <w:szCs w:val="26"/>
        </w:rPr>
        <w:t>4.2. Приемочные и квалификационные испытания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4.2.1. Приемочные испытания опытных образцов АСА должны проводиться в целях решения вопроса о возможности постановки этой продукции на производство.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4.2.2. Квалификационные испытания установочной серии или первой промышленной партии АСА должны проводиться в целях оценки готовности предприятия к выпуску продукции данного типа в заданном объеме.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4.2.3. Приемочные и квалификационные испытания должны проводиться разработчиком и изготовителем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4.2.4. Приемочные и квалификационные испытания могут проводиться по отдельным пунктам программы предварительных испытаний по усмотрению приемочной комиссии, с оформлением результатов испытаний в соответствии с ГОСТ Р 15.201.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6"/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6"/>
          <w:lang w:val="en-US"/>
        </w:rPr>
      </w:pPr>
      <w:r>
        <w:rPr>
          <w:b/>
          <w:color w:val="000000"/>
          <w:szCs w:val="26"/>
        </w:rPr>
        <w:t>4.3. Сертификационные испытания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4.3.1. Сертификационные испытания должны проводиться испытательными центрами (лабораториями), аккредитованными на проведение испытаний продукции или на отдельные виды испытаний, в целях проверки соответствия параметров и характеристик изделия нормативным документам.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4.3.2. Наличие "Одобрения типа транспортного средства" при сертификации АСА является обязательным.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4.3.3. Программа сертификационных испытаний должна включать в себя проверку всех показателей и характеристик, указанных в настоящих нормах, согласно обязательному приложению В.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6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6"/>
        </w:rPr>
      </w:pPr>
      <w:r>
        <w:rPr>
          <w:b/>
          <w:color w:val="000000"/>
          <w:szCs w:val="26"/>
        </w:rPr>
        <w:t>4.4. Предъявительские испытания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4.4.1. Предъявительские испытания АСА должны проводиться предприятием-изготовителем перед приемкой его потребителем.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4.4.2. В состав предъявительских испытаний должна входить обкатка. Режим обкатки электросиловой установки и базового шасси должен устанавливаться в нормативно-технической документации на конкретную модель.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4.4.3. Предъявительские испытания АСА должны включать в себя: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а) внешний осмотр в целях оценки качества окраски, монтажно-сборочных работ, надежности крепления сборочных единиц;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б) проверку наличия и размещения оборудования и аппаратуры согласно комплектации;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в) проверку работы ЭСУ и дополнительного электрооборудования;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г) проверку работы привода осветительной мачты и механизмов ориентации прожекторов;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д) дорожные испытания на отрезке пути не менее 100 км.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4.4.4. Дорожные испытания должны проводиться на дорогах с любыми видами покрытий по маршруту, выбранному предприятием-изготовителем.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 xml:space="preserve">4.4.5. При неудовлетворительных результатах испытаний хотя бы по одному из показателей изделие должно быть возвращено для устранения обнаруженных недостатков. Повторные </w:t>
      </w:r>
      <w:r>
        <w:rPr>
          <w:color w:val="000000"/>
          <w:szCs w:val="25"/>
        </w:rPr>
        <w:lastRenderedPageBreak/>
        <w:t>испытания должны проводиться по показателям, по которым был получен неудовлетворительный результат.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4.4.6. АСА, не выдержавший повторных испытаний, должен быть забракован.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4.4.7. Результаты предъявительских испытаний и обкатки должны быть оформлены протоколом и внесены в формуляр изделия.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4.5. Приемо-сдаточные испытания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4.5.1. Приемо-сдаточным испытаниям должен подвергаться каждый АСА в целях определения возможности поставки изделия заказчику.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4.5.2. Приемо-сдаточным испытаниям должен подвергаться каждый АСА, прошедший предъявительские испытания.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4.5.3. Испытания должны проводиться в объеме и последовательности предъявительских испытаний при непосредственном участии представителя заказчика.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4.5.4. По усмотрению представителя заказчика допускается отдельные виды испытаний не проводить.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4.5.5. По согласованию с представителем заказчика приемо-сдаточные и предъявительские испытания могут быть совмещены.</w:t>
      </w:r>
    </w:p>
    <w:p w:rsidR="00811A6B" w:rsidRDefault="00811A6B">
      <w:pPr>
        <w:shd w:val="clear" w:color="auto" w:fill="FFFFFF"/>
        <w:ind w:firstLine="284"/>
        <w:jc w:val="both"/>
        <w:rPr>
          <w:bCs/>
          <w:i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iCs/>
          <w:color w:val="000000"/>
          <w:szCs w:val="27"/>
        </w:rPr>
        <w:t xml:space="preserve">4.6. </w:t>
      </w:r>
      <w:r>
        <w:rPr>
          <w:b/>
          <w:color w:val="000000"/>
          <w:szCs w:val="27"/>
        </w:rPr>
        <w:t>Периодические испытания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4.6.1. Периодические испытания выпускаемых АСА должны проводиться в объемах и в сроки, установленные нормативно-технической документацией, в целях контроля стабильности качества изготовления АСА и подтверждения возможности продолжения их выпуска.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4.6.2. Испытаниям должен подвергаться один АСА из числа выдержавших приемо-сдаточные испытания и изготовленных в контролируемый период.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4.6.3. При наличии на предприятии службы представителя заказчика отбор изделия должен проводиться в его присутствии.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4.6.4. Периодические испытания АСА должны содержать: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а) приемо-сдаточные испытания в полном объеме в соответствии с п. 4.5;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б) проверку характеристик, приведенных в таблице 1;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в) дорожные испытания на отрезке пути в 100 км с распределением пробега по видам дорог для полноприводного/ неполноприводного шасси, в процентах: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по дорогам с асфальтовым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и бетонным покрытием ......................................40/50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по дорогам с булыжным покрытием .................30/20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по грунтовым дорогам ........................................30/30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по требованию представителя заказчика в программу периодических испытаний может быть включена проверка показателей надежности.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4.6.5. Результаты проведенных испытаний должны оформляться протоколом, который утверждается руководителем предприятия-изготовителя и хранится в течение установленного срока, но не менее чем до очередных периодических испытаний.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4.6.6. При получении неудовлетворительных результатов должен быть проведен анализ причин их возникновения и составлен план мероприятий, реализация которого позволит исключить возможность повторного получения отрицательных результатов.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4.6.7. После доработки должны быть проведены повторные испытания на удвоенной выборке АСА по тем показателям, по которым были получены неудовлетворительные результаты, а также повторены проведенные ранее испытания, на результаты которых прямо или косвенно могли повлиять внесенные в ходе доработки изменения.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4.6.8. Изделия, подвергшиеся периодическим испытаниям с проверкой показателей долговечности (до полного износа), поставке потребителю не подлежат.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4.7. Типовые испытания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4.7.1. Типовые испытания выпускаемых АСА должны проводиться в целях оценки эффективности и целесообразности вносимых в конструкцию и технологический процесс изменений.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4.7.2. Программа типовых испытаний должна содержать проверку тех характеристик и параметров, на которые прямо или косвенно могут повлиять внесенные изменения.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4.7.3. В программе должно быть указано количество изделий, необходимых для проведения </w:t>
      </w:r>
      <w:r>
        <w:rPr>
          <w:color w:val="000000"/>
          <w:szCs w:val="24"/>
        </w:rPr>
        <w:lastRenderedPageBreak/>
        <w:t>испытаний, а также предусмотрена возможность проверки целесообразности дальнейшего использования АСА, подвергнутых типовым испытаниям.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4.7.4. Программа испытаний должна разрабатываться предприятием-изготовителем, согласовываться с разработчиком изделия и основным заказчиком.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4.7.5. Результаты типовых испытаний следует оформлять протоколом, в котором дается заключение о целесообразности внесения изменений.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4.8. Эксплуатационные испытания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4.8.1. Эксплуатационные испытания должны проводиться для всех новых моделей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4.8.2. Организация-разработчик АСА должна подготовить соответствующие предложения и вместе с проектом технических условий на конкретную модель АСА представить на приемочные испытания.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4.8.3. Выбор базовых гарнизонов для проведения эксплуатационных испытаний должен быть согласован с основным заказчиком.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4.9. Специальные испытания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4.9.1. Специальные испытания (климатические, проверка брызгозащищенности, электромагнитной совместимости) должны проводиться для определения функционального соответствия АСА условиям эксплуатации и (или) оперативного использования, установленным в техническом задании.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4.9.2. Испытания должны проводиться по решению основного заказчика в соответствии с утвержденной им программой и методикой испытаний.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4.9.3. Полный объем и методы испытаний АСА при их приемке должны устанавливаться в технических условиях на конкретную модель с учетом требований настоящих норм.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 МЕТОДЫ ИСПЫТАНИЙ</w:t>
      </w: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5.1. Условия испытаний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5.1.1. Объем испытаний определяется программами испытаний на конкретные модели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5.1.2. АСА, предназначенные для испытаний, должны быть изготовлены в соответствии с требованиями настоящих норм, нормативно-технической и конструкторской документации, полностью укомплектованы, технически исправны и отрегулированы.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5.1.3. Двигатель и трансмиссия АСА должны пройти надлежащую обкатку в соответствии с инструкцией завода-изготовителя.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5.1.4. Эксплуатация АСА во время проведения испытаний должна проводиться в соответствии с требованиями эксплуатационной документации на конкретную модель.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5.1.5. Техническое состояние автомобиля при дорожных испытаниях должно соответствовать требованиям ГОСТ 25478.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5.1.6. Испытания, за исключением тех, которые оговорены особо, должны проводиться при нормальных значениях факторов внешней среды в соответствии с ГОСТ 15150.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5.1.7. Топливо, масла и специальные жидкости для АСА должны соответствовать климатическим условиям проведения испытаний.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5.1.8. Дополнительная подготовка и изменение комплектации испытываемого АСА, не предусмотренные настоящими нормами, техническими условиями, инструкцией по эксплуатации, методикой и программой испытаний, не допускаются.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5.1.9. Требования безопасности при проведении испытаний — по ГОСТ 12.3.002, требования электробезопасности — по ГОСТ 12.1.019.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5.1.10. Персонал, допускаемый к испытаниям, должен пройти инструктаж и обучение в порядке, установленном ГОСТ 12.0.004, а также быть обеспечен при необходимости средствами индивидуальной защиты.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5.1.11. К испытаниям и обслуживанию ЭСУ должны допускаться только лица, изучившие «Правила безопасности при эксплуатации электроустановок пожарных автомобилей и прицепов».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5.1.12. На месте проведения испытаний должны быть установлены предупреждающие знаки, по ГОСТ 12.4.026, с поясняющей надписью «Идут испытания!», а также вывешены инструкции и правила безопасности.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5.1.13. Применяемое испытательное и измерительное оборудование должно обеспечивать </w:t>
      </w:r>
      <w:r>
        <w:rPr>
          <w:color w:val="000000"/>
          <w:szCs w:val="24"/>
        </w:rPr>
        <w:lastRenderedPageBreak/>
        <w:t>максимальные допустимые значения измерений при испытаниях в соответствии с обязательным приложением С.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5.2. Внешний осмотр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5.2.1. Внешний осмотр АСА проводят без снятия и разборки агрегатов. Осмотру подвергают все составные части АСА, проверяют наличие, размещение и крепление специального оборудования, а также: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комплектность АСА в целом, его оборудование, аппаратуру, снаряжение и инструмент;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ЭСУ с кабельным хозяйством, дополнительную трансмиссию привода;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удобство и безопасность доступа к агрегатам и оборудованию при обслуживании и ремонте;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удобство размещения боевого расчета, безопасность входа и выхода;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выполнение требований пассивной безопасности (наличие острых кромок, выступающих частей и т.п.);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наличие, размещение, удобство съема и установки ПТВ;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ж) удобство управления сцеплением, коробкой отбора мощности, ЭСУ, осветительной мачтой и т.п.;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з) соблюдение требований пожарной и электробезопасности;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и) качество выполнения сварных швов, окраски, уплотнений (в том числе отверстия в крыше для выхода мачты), наличие видимых повреждений (вмятины, трещины, коррозия), подтекание масла, топлива, специальных жидкостей;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к) соответствие цветографической схемы АСА требованиям ГОСТ Р 50574;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л) работу штатного и дополнительного электрооборудования при максимальной нагрузке, а также сигнальных устройств и громкоговорящей связи.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5.2.2. Наряду с внешним осмотром проводят проверку агрегатов и оборудования в действии — прослушивают работу двигателя, проверяют работу органов управления, работу механизма подъема осветительной мачты и т.п.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5.2.3. Соединения должны подвергаться осмотру без нарушения шплинтовки или фиксации.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5.2.4. Внешнему осмотру в обязательном порядке подвергают элементы АСА, которые прямо или косвенно связаны с действиями боевого расчета при выполнении им функциональных обязанностей в процессе эксплуатации, монтажа (демонтажа) при ремонте: салон боевого расчета, отсеки, устройство и прочность крепления сидений, опорных поручней, дверей, замков, лестницу для подъема на крышу и ограждение рабочей площадки на крыше АСА и т.п.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5.2.5. Результаты проведенного осмотра должны оформляться протоколом согласно рекомендуемому приложению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5.3. Определение показателей массы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5.3.1. Измерения должны проводиться на автомобильных весах, размеры которых позволяют устанавливать на них АСА всеми колесами одновременно, а также колесами одной оси, задней тележки и одного борта. Погрешность измерений не должна превышать значений, указанных в обязательном приложении З.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5.3.2. Допускается применять вместо весов другие весовые устройства (тензостанции и т.п.), аттестованные в установленном порядке и обеспечивающие точность измерений в соответствии с приложением 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5.3.3. Перед испытанием АСА должен быть: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в технически исправном состоянии, очищен от грязи;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полностью укомплектован в соответствии с нормативно-технической документацией;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полностью заправлен ГСМ;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освобожден от посторонних предметов.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5.3.4. Массу боевого расчета допускается имитировать балластом из расчета 85 кг на одного человека. При этом 85 % от имитирующего груза следует разместить на сидениях и 15 % — на полу салона и кабины.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5.3.5. При испытаниях следует определить: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полную массу АСА;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распределение полной массы АСА на оси передних и задних колес;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распределение полной массы на правый и левый борт.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5.3.6. Проверку полной массы АСА проводят при неработающем двигателе, расторможенных колесах, выключенных передачах, разблокированных мостах, закрытых дверях кабины, салона и </w:t>
      </w:r>
      <w:r>
        <w:rPr>
          <w:color w:val="000000"/>
          <w:szCs w:val="24"/>
        </w:rPr>
        <w:lastRenderedPageBreak/>
        <w:t>кузова.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5.3.7. Проверку полной массы осуществляют взвешиванием при въезде АСА на весы с двух сторон. Полную массу определяют как среднее арифметическое результатов двух взвешиваний.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5.3.8. Проверку распределения нагрузки на оси передних и задних колес проводят взвешиванием при въезде на весы с двух сторон. АСА следует устанавливать на весы колесами передней и задней оси по возможности ближе к середине платформы весов. Нагрузки на оси передних и задних колес определяют как среднее арифметическое результатов двух взвешиваний, а их сумма должна быть равна полной массе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5.3.9. Проверку распределения полной массы по бортам проводят взвешиванием при въезде на весы с двух сторон поочередно правым и левым бортом. Нагрузки по бортам определяют как среднее арифметическое результатов двух взвешиваний, при этом они (нагрузки) не должны различаться между собой более чем на 1 % от полной массы, а их сумма должна быть равна полной массе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5.3.10. Значения определяемых показателей не должны превышать нормативы, установленные заводом-изготовителем базового шасси.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5.3.11. Результаты испытаний следует оформить протоколом согласно рекомендуемому приложению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5.4. Определение геометрических параметров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5.4.1. Проверку основных размеров АСА и его составных частей следует проводить на ровной горизонтальной площадке в соответствии с ГОСТ 22748.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5.4.2. Проверка размеров - рулеткой РЗ-10, по ГОСТ 7502, линейкой, по ГОСТ 427, с ценой деления 1 мм. При измерениях крайние точки определяют с помощью отвеса и деревянной рейки размерами 40</w:t>
      </w:r>
      <w:r>
        <w:rPr>
          <w:color w:val="000000"/>
          <w:szCs w:val="24"/>
        </w:rPr>
        <w:sym w:font="Symbol" w:char="F0B4"/>
      </w:r>
      <w:r>
        <w:rPr>
          <w:color w:val="000000"/>
          <w:szCs w:val="24"/>
        </w:rPr>
        <w:t>40</w:t>
      </w:r>
      <w:r>
        <w:rPr>
          <w:color w:val="000000"/>
          <w:szCs w:val="24"/>
        </w:rPr>
        <w:sym w:font="Symbol" w:char="F0B4"/>
      </w:r>
      <w:r>
        <w:rPr>
          <w:color w:val="000000"/>
          <w:szCs w:val="24"/>
        </w:rPr>
        <w:t>4000 мм.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5.4.3. Во время определения размеров АСА должен находиться в снаряженном состоянии. Давление воздуха в шинах должно соответствовать инструкции по эксплуатации базового шасси. Износ шин — не более 30 %.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5.4.4. При испытаниях следует определять следующие геометрические параметры: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габаритные размеры АСА (длина, ширина, высота);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дорожный просвет;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передний и задний углы свеса;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размеры сидений боевого расчета, высоту расположения подножек.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5.4.5. Погрешность измерений основных наружных размеров, допуски на которые не указаны в конструкторской документации, должны устанавливаться согласно обязательному приложению 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5.4.6. Значения измеряемых параметров должны соответствовать требованиям нормативно-технической документации на конкретный тип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5.4.7. Результаты измерений заносят в протокол (рекомендуемое приложение Д). В протоколе указывают, какой из агрегатов имеет низшую точку при замере дорожного просвета.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5.5. Определение угла поперечной устойчивости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5.5.1. Определение утла поперечной устойчивости должно проводиться на стенде опрокидывания с платформой соответствующих грузоподъемности и размеров. Платформа должна обеспечивать угол наклона в горизонтальной плоскости, при котором испытываемый АСА теряет устойчивость, но не менее чем 30°.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5.5.2. Платформа стенда должна иметь устройства, позволяющие фиксировать момент потери устойчивости (отрыв колес от поверхности платформы) и в то же время предотвращать дальнейшее опрокидывание автомобиля.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5.5.3. Испытания могут проводиться как в закрытом помещении, так и на открытой площадке. При испытаниях на открытой площадке скорость ветра не должна превышать 5 м/с. Поверхность платформы должна быть сухой, свободной от грязи и льда.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5.5.4. АСА на платформе стенда должен быть установлен таким образом, чтобы наиболее нагруженный борт АСА располагался с противоположной стороны оси вращения стенда, а его продольная ось и ось вращения стенда были параллельны, с отклонением не более чем на 1,5°.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5.5.5. При испытаниях должны быть включены стояночный тормоз и низшая передача.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5.5.6. Сбоку от колес, относительно которых будет происходить опрокидывание, должны быть установлены опорные брусья высотой от 20 до 22 см.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5.5.7. Увеличение угла наклона платформы должно проводиться плавно и до тех пор, пока </w:t>
      </w:r>
      <w:r>
        <w:rPr>
          <w:color w:val="000000"/>
          <w:szCs w:val="24"/>
        </w:rPr>
        <w:lastRenderedPageBreak/>
        <w:t>одно из колес не оторвется от платформы. Эту операцию необходимо повторять до тех пор, пока три измерения будут иметь разницу результатов не более чем 1°.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5.5.8. АСА считается выдержавшим испытания, если значение угла поперечной устойчивости, определенное при испытаниях, будет не менее 30°.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5.5.9. Результаты испытаний должны оформляться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5.6. Проверка параметров электросиловой установки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5.6.1. Проверка параметров ЭСУ должна проводиться с соблюдением "Правил безопасности при эксплуатации электроустановок пожарных автомобилей и прицепов" после обкатки привода и коробки отбора мощности путем запуска двигателя базового шасси и выведения основного источника питания АСА на рабочий режим, согласно инструкции по его эксплуатации.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5.6.2. Параметры ЭСУ следует контролировать в течение 6 ч непрерывной работы с интервалом регистрации в 20 мин.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5.6.3. Суммарная мощность, одновременно потребляемая стационарными и переносными приемниками электроэнергии, не должна превышать 90 % номинальной мощности основного источника питания ЭСУ.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5.6.4. При проверке работы ЭСУ должны контролироваться следующие параметры: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напряжение на концах линий при включении всех потребителей;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напряжение, частота тока, сила тока на основном источнике питания;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температура воды в системе охлаждения двигателя базового шасси;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температура масла в коробке передач и коробке отбора мощности;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давление масла в системе смазки двигателя базового шасси.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температура нагрева корпуса основного источника питания.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5.6.5.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5.7. Проверка эффективности работы УЗО и УПКИ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5.7.1. Проверку эффективности работы УЗО и УПКИ проводят путем искусственного создания токов утечки на корпус потребителей для всех защищаемых линий по НПБ 179-99 "Пожарная техника. Устройства защитного отключения для пожарных машин. Общие технические требования. Методы испытаний". При этом в обязательном порядке определяется ток срабатывания и время срабатывания УЗО.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5.7.2. Результаты измерений заносят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5.8. Проверка эффективности работы автоматического регулятора 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частоты вращения двигателя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5.8.1. Эффективность работы автоматического регулятора, обеспечивающего стабильность частоты вращения ротора основного источника питания, определяется при изменении нагрузки в линиях потребителей в интервале от 10 до 100 % номинальной мощности (в том числе и в режиме холостого хода основного источника питания). Нагрузка должна подключаться дискретно с шагом от 1,5 до 3 кВт.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5.8.2. Частота тока и напряжение, контролируемые в процессе испытаний, должны соответствовать нормативно-технической документации на конкретную модель АСА.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5.8.3. Работоспособность дополнительного электрооборудования, к числу которого относятся системы общего и местного освещения, световые табло, маяки, вентиляторы и розетки на рабочих местах, специальные звуковые сигналы, выносные прожекторы, фары-искатели и др., проверяют путем трехкратного включения и выключения соответствующего элемента.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5.8.4. Испытания будут считаться положительными, если частота тока при сбросе-набросе нагрузки будет отличаться от номинальной частоты не более чем на 8 %.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5.8.5.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lastRenderedPageBreak/>
        <w:t>5.9. Проверка заземляющего устройства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5.9.1. При проверке заземляющего устройства должны подвергаться контролю его конструкция и размеры, механизм крепления зажима, качество покрытия, значение переходного сопротивления и наработка - в соответствии с ГОСТ 16556.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5.9.2. Проверка электрического сопротивления заземляющего устройства должна проводиться с помощью моста сопротивлений Р-333. Переходное сопротивление между стержнем и заземляющими проводниками не должно превышать 600 мкОм. Заземляющее устройство должно обеспечивать сопротивление растеканию не более 25 Ом.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5.9.3. Контроль конструкции и размеров должен проводиться сличением их с чертежами и измерением размеров. Наработку заземлителей следует проверять путем забивания их не менее 120 раз в глинистый или песчаный грунт.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5.9.4.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5.10. Проверка работы осветительной мачты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5.10.1. Проверку работы механизмов подъема-опускания осветительной мачты и ориентации прожекторов в пространстве следует проводить путем подъема мачты на максимальную высоту с остановкой в промежуточных точках (с шагом 0,5 м) и поворотом прожекторов в горизонтальной и вертикальной плоскостях.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5.10.2. В процессе данной проверки контролируются следующие параметры: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плавность работы механизма подъема-опускания (мачта должна выдвигаться и опускаться без заеданий и рывков);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работоспособность прожекторов;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эффективность работы световой индикации, информирующей о положении осветительной мачты (в выдвинутом рабочем или в транспортном);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максимальная высота подъема прожекторов над уровнем земли;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эффективность работы механизма ориентации прожекторов в пространстве;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диапазон углов поворота прожекторов в горизонтальной и вертикальной плоскостях;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ж) эффективность тормозного устройства осветительной мачты.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5.10.3. Результаты, полученные в процессе испытаний, должны быть занесены в соответствующие протоколы.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5.11. Проверка ЭСУ на брызгозащищенность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5.11.1. Проверка оборудования ЭСУ на брызгозащищенность должна проводиться в целях определения эффективности защитных оболочек, а также установления соответствия степени их защиты </w:t>
      </w:r>
      <w:r>
        <w:rPr>
          <w:color w:val="000000"/>
          <w:szCs w:val="24"/>
          <w:lang w:val="en-US"/>
        </w:rPr>
        <w:t xml:space="preserve">IP45 </w:t>
      </w:r>
      <w:r>
        <w:rPr>
          <w:color w:val="000000"/>
          <w:szCs w:val="24"/>
        </w:rPr>
        <w:t xml:space="preserve">и </w:t>
      </w:r>
      <w:r>
        <w:rPr>
          <w:color w:val="000000"/>
          <w:szCs w:val="24"/>
          <w:lang w:val="en-US"/>
        </w:rPr>
        <w:t xml:space="preserve">IP23 </w:t>
      </w:r>
      <w:r>
        <w:rPr>
          <w:color w:val="000000"/>
          <w:szCs w:val="24"/>
        </w:rPr>
        <w:t>по ГОСТ 14254.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5.11.2.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5.12. Проверка работоспособности кабельных катушек и разветвительных коробок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5.12.1. Проверку работоспособности кабельных катушек и разветвительных коробок следует проводить путем подключения через них штатных потребителей электроэнергии (дымосос, выносной прожектор) к выводному щиту ЭСУ.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5.12.2. При испытаниях следует обращать внимание на наличие световой сигнализации о наличии напряжения на разветвительной коробке, наличие заглушек на розетках, удобство размотки-намотки силового кабеля на кабельную катушку, надежность соединения разъемов.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5.12.3.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5.13. Определение уровня освещенности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5.13.1. Проверку эффективности освещения на рабочих местах в салоне и кабине водителя АСА следует проводить в темное время суток.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5.13.2. Контрольными точками при определении уровней освещенности в АСА должны быть точки, расположенные: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на рабочем месте водителя на высоте 1 м от уровня пола;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б) в проходе салона на высоте 1 м от уровня пола;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на поверхности подножек и ступеней;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на расстоянии 0,3 м от лицевых поверхностей электрощитов, пульта управления работой ЭСУ, других приборов и аппаратуры;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на высоте 0,3 м от поверхности стола для обслуживания противогазов.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5.13.3. Уровни освещенности в указанных выше контрольных точках должны соответствовать требованиям, изложенным в пп. 3.4.9 и 3.5.6.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5.13.4.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8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5.14. Определение уровня загазованности в кабине водителя</w:t>
      </w: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8"/>
        </w:rPr>
        <w:t>(салоне для боевого расчета) АСА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5.14.1. Проверка уровня предельно допустимых концентраций вредных веществ в воздушной среде кабины (салона) АСА должна проводиться при работающем двигателе как во время движения, так и на стоянке в соответствии с требованиями ГОСТ 12.1.005.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5.14.2. В процессе проверки определяют содержание окиси углерода, окислов азота, акролеина, паров топлива, паров серной кислоты. Их концентрация не должна превышать следующих значений, мг/м</w:t>
      </w:r>
      <w:r>
        <w:rPr>
          <w:color w:val="000000"/>
          <w:szCs w:val="24"/>
          <w:vertAlign w:val="superscript"/>
        </w:rPr>
        <w:t>3</w:t>
      </w:r>
      <w:r>
        <w:rPr>
          <w:color w:val="000000"/>
          <w:szCs w:val="24"/>
        </w:rPr>
        <w:t>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окись углерода ..........................................................20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окислы азота ................................................................5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акролеин ....................................................................0,2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пары топлива ...........................................................100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туман серной кислоты .................................................1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5.14.3. Содержание вредных веществ следует определять на рабочих местах в зонах дыхания.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5.14.4. В процессе проверки в каждой точке должно быть проведено не менее пяти испытаний для получения достоверной гигиенической характеристики состояния воздушной среды. Метод проверки должен обеспечивать избирательное определение содержания вредного вещества в контрольной точке на уровне </w:t>
      </w:r>
      <w:r>
        <w:rPr>
          <w:color w:val="000000"/>
          <w:szCs w:val="24"/>
        </w:rPr>
        <w:sym w:font="Symbol" w:char="F0A3"/>
      </w:r>
      <w:r>
        <w:rPr>
          <w:color w:val="000000"/>
          <w:szCs w:val="24"/>
        </w:rPr>
        <w:t xml:space="preserve"> 0,5 предельно допустимой концентрации.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5.14.5.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5.15. Определение внешнего и внутреннего шумов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5.15.1. Определение внешнего шума АСА при движении и при стационарной работе на привод основного источника питания - в соответствии с ГОСТ 27436, а внутреннего - в соответствии с ГОСТ Р 51616-2000.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5.15.2. Внешний шум от движения АСА следует определять при движении АСА по прямой ровной поверхности с асфальтобетонным покрытием на максимальной скорости, а внешний и внутренний шумы при стационарной работе на привод основного источника питания — в режиме использования 90 % мощности основного источника питания.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5.15.3.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5.16. Испытания системы отопления салона (кабины)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5.16.1. Испытания должны проводиться с учетом того, что система отопления должна обеспечивать в салоне на высоте 1,5 м от пола температуру не менее 15 °С при наружной температуре до минус 40 °С.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5.16.2. Контроль температур на рабочих местах в салоне АСА и в кабине водителя должен проводиться в указанном интервале температур наружного воздуха при скорости движения до 80 км/ч (а также на стоянке).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5.16.3. Указанная температура в салоне должна устанавливаться не более чем через 30 мин после начала движения АСА и поддерживаться при стационарной работе.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5.16.4.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5.17. Определение уровня вибрации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5.17.1. Контроль уровней локальной и общей вибрации проводят для оценки вибрационной </w:t>
      </w:r>
      <w:r>
        <w:rPr>
          <w:color w:val="000000"/>
          <w:szCs w:val="24"/>
        </w:rPr>
        <w:lastRenderedPageBreak/>
        <w:t>безопасности работы на АСА в соответствии с ГОСТ 12.1.012.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5.17.2. Виброизмерительная аппаратура должна соответствовать требованиям ГОСТ 12.1.012.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5.17.3. Для оценки вибрационной нагрузки на оператора точки измерений следует выбирать в местах контакта оператора с вибрирующей поверхностью.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5.17.4. При измерении локальной вибрации с участием оператора вибропреобразователь должен быть установлен на переходном элементе - адаптере (установка вибропреобразователя допускается на резьбовой шпильке, магните, с помощью жесткого хомута).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5.17.5. При измерении общей вибрации вибропреобразователь должен быть установлен в соответствии с ГОСТ 27259 на промежуточном диске, размещаемом на сиденье оператора.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5.17.6. Время усреднения (интегрирования) прибора при измерении локальной вибрации должно быть не менее 1 с, а общей вибрации — не менее 10 с.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5.17.7. Измерения должны проводиться непрерывно или через равные промежутки времени (дискретно).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5.17.8. При непрерывном измерении длительность наблюдения должна быть не менее 5 мин для локальной вибрации и не менее 15 мин — для общей.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5.17.9. При разбросе значений за результат измерений принимается максимальное значение.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5.17.10. Результаты измерений должны быть оформлены протоколом, в котором приводят следующие сведения: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а) дату и место проведения измерений;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б) объект измерения (тип АСА, год выпуска, рабочее место);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в) тип измерительной аппаратуры;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г) условия измерений;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д) измеряемые параметры;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е) место установки вибропреобразователя;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ж) принятую систему координатных осей и выбранное направление измерений;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з) результаты обработки измерений;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и) заключение о соответствии измеренных параметров вибрации нормативам.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5.18. Определение конструктивной прочности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5.18.1. Конструктивная прочность АСА должна проверяться в ходе пробеговых испытаний по дорогам различных категорий. Протяженность пробеговых испытаний должна быть не менее 100 км.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5.18.2. Пробеговые испытания должны проводиться предприятием-изготовителем на стадии предварительных испытаний.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5.18.3. Непосредственно перед началом пробеговых испытаний и после их окончания, а также через каждые 20 км пробега необходимо проводить проверку работоспособности ЭСУ в режиме номинальной нагрузки в течение не менее 5 мин,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5.18.4. Нарушение целостности конструкции, крепления стационарных и съемных элементов оборудования и аппаратуры АСА, потеря их работоспособности не допускаются.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5.18.5. Полученные результаты заносятся в протокол испытаний в соответствии с рекомендуемым приложением Д.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5.19. Проверка цветографической схемы, работы специальных 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световых и звуковых сигналов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5.19.1. Установка устройств световой сигнализации, подвергшаяся изменению при изготовлении АСА, должна проверяться на соответствие ГОСТ 8769.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5.19.2. Расположение специальных световых и звуковых сигналов, цветографическая схема проверяется в соответствии с ГОСТ Р 50574.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7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5.20. Определение показателей надежности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Контроль (определение) гамма-процентной наработки и гамма-процентного ресурса осуществляется в соответствии с РД-50-690 при следующих исходных данных: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регламентированная вероятность </w:t>
      </w:r>
      <w:r>
        <w:rPr>
          <w:color w:val="000000"/>
          <w:szCs w:val="24"/>
        </w:rPr>
        <w:sym w:font="Symbol" w:char="F067"/>
      </w:r>
      <w:r>
        <w:rPr>
          <w:color w:val="000000"/>
          <w:szCs w:val="24"/>
        </w:rPr>
        <w:t>/100 = 80;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доверительная вероятность при годовом объеме выпуска соответственно: менее 1000 шт. — 0,8.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 xml:space="preserve">Установленное число отказов (предельных состояний) </w:t>
      </w:r>
      <w:r>
        <w:rPr>
          <w:i/>
          <w:color w:val="000000"/>
          <w:szCs w:val="24"/>
          <w:lang w:val="en-US"/>
        </w:rPr>
        <w:t>r</w:t>
      </w:r>
      <w:r>
        <w:rPr>
          <w:iCs/>
          <w:color w:val="000000"/>
          <w:szCs w:val="24"/>
          <w:lang w:val="en-US"/>
        </w:rPr>
        <w:t xml:space="preserve"> </w:t>
      </w:r>
      <w:r>
        <w:rPr>
          <w:iCs/>
          <w:color w:val="000000"/>
          <w:szCs w:val="24"/>
        </w:rPr>
        <w:t xml:space="preserve">= </w:t>
      </w:r>
      <w:r>
        <w:rPr>
          <w:color w:val="000000"/>
          <w:szCs w:val="24"/>
        </w:rPr>
        <w:t>1.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lastRenderedPageBreak/>
        <w:t>Количество испытываемых автомобилей — 8 шт.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Гамма-процентный (</w:t>
      </w:r>
      <w:r>
        <w:rPr>
          <w:color w:val="000000"/>
          <w:szCs w:val="24"/>
        </w:rPr>
        <w:sym w:font="Symbol" w:char="F067"/>
      </w:r>
      <w:r>
        <w:rPr>
          <w:color w:val="000000"/>
          <w:szCs w:val="24"/>
        </w:rPr>
        <w:t xml:space="preserve"> = 80 %) ресурс агрегатов АСА до первого капремонта определяют по результатам наблюдений за АСА в условиях эксплуатации.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6. НОРМАТИВНЫЕ ССЫЛКИ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настоящих нормах использованы ссылки на следующие документы.</w:t>
      </w:r>
    </w:p>
    <w:p w:rsidR="00811A6B" w:rsidRDefault="00811A6B">
      <w:pPr>
        <w:shd w:val="clear" w:color="auto" w:fill="FFFFFF"/>
        <w:ind w:firstLine="284"/>
        <w:jc w:val="both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6640"/>
      </w:tblGrid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12.0.004-90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Организация обучения безопасности труда. Общие положения.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12.1.003-83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Шум. Общие требования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12.1.005-88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Общие санитарно-гигиенические требования к воздуху рабочей зоны.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12.1.012-90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Вибрационная безопасность. Общие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12.1.019-79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Электробезопасность. Общие требования и номенклатура видов защиты.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12.2.032-78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Рабочее место при выполнении работ сидя. Общие эргономические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12.2.037-78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Техника пожарная. Требования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12.3.002-75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Процессы производственные. Общие требования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12.4.009-83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Пожарная техника для защиты объектов. Основные виды. Размещение и обслуживание.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12.4.026-76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ССБТ. Цвета сигнальные и знаки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15.001-88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Система разработки и постановки продукции на производство. Продукция производственно-технического назначения.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17.2.2.03-87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Охрана природы. Атмосфера. Нормы и методы измерений содержания окиси углерода и углеводородов в отработавших газах автомобилей с бензиновыми двигателями. Требования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427-75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Линейки измерительные металлические.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2349-75</w:t>
            </w:r>
          </w:p>
        </w:tc>
        <w:tc>
          <w:tcPr>
            <w:tcW w:w="6640" w:type="dxa"/>
            <w:tcBorders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Устройства тягово-сцепные системы "крюк-петля" автомобильных и тракторных поездов. Основные параметры и размеры. Технические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6465-76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Эмали ПФ-115.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6964-72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Фонари внешние сигнальные и осветительные механических транспортных средств, прицепов и полуприцепов. Общие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7502-98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Рулетки измерительные металлические.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8769-75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Приборы внешние световые автомобилей, автобусов, троллейбусов, тракторов, прицепов и полуприцепов. Количество, расположение, цвет, углы видимости.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10511-83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Системы автоматического регулирования частоты вращения судовых, тепловозных и промышленных дизелей. Общие технические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14254-96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Изделия электротехнические. Оболочки. Степени защиты. Обозначения.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15150-69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16504-81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Система государственных испытаний продукции. Испытания и контроль качества продукции. Основные термины и определения.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16556-81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Заземлители для передвижных электроустановок. Общие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16842-81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Радиопомехи индустриальные. Методы испытаний источников индустриальных радиопомех.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17516-90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Изделия электротехнические. Общие требования в части стойкости к механическим внешним воздействующим факторам.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17822-91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Радиопомехи индустриальные от устройств с двигателями внутреннего сгорания. Нормы и методы испытаний.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18099-78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Эмали МЛ-152.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18374-79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Эмали ХВ-110 и ХВ-113.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20439-87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Электроагрегаты и передвижные электростанции с двигателями внутреннего сгорания. Требования к надежности и методы контроля.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20961-75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Световозвращатели транспортных средств. Общие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lastRenderedPageBreak/>
              <w:t>ГОСТ 21130-75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Изделия электротехнические. Зажимы заземляющие и знаки заземления. Конструкция и размеры.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21393-75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Автомобили с дизелями. Дымность отработавших газов. Нормы и методы измерений. Требования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21752-76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Система человек-машина. Маховики управления и штурвалы. Общие эргономические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21753-76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Система человек-машина. Рычаги управления. Общие эргономические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22748-77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Автотранспортные средства. Номенклатура наружных размеров. Методы измерений.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23377-84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Электроагрегаты и передвижные электростанции с двигателями внутреннего сгорания. Общие технические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24297-87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Входной контроль продукции. Основные положения.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24333-80</w:t>
            </w:r>
          </w:p>
        </w:tc>
        <w:tc>
          <w:tcPr>
            <w:tcW w:w="6640" w:type="dxa"/>
            <w:tcBorders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Знак аварийной остановки. Общие технические условия.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25478-91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Автотранспортные средства. Требования к техническому состоянию по условиям безопасности движения. Методы проверки.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27259-87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Машины землеройные. Сиденье оператора. Передаваемая вибрация. Методы испытаний.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27436-87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Внешний шум автотранспортных средств. Допустимые уровни и методы измерений.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27815-88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Автобусы. Общие требования к безопасности конструкции.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28443-90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Единообразные предписания, касающиеся официального утверждения механических транспортных средств в отношении замков и устройств крепления дверей.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Р 50574-93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Автомобили, автобусы и мотоциклы специальных и оперативных служб. Цветографические схемы, опознавательные знаки, надписи, специальные световые и звуковые сигналы. Общие требования.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Р 50993-96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Автотранспортные средства. Системы отопления, вентиляции и кондиционирования. Требования к эффективности и безопасности.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ГОСТ Р 51616-</w:t>
            </w:r>
            <w:r>
              <w:rPr>
                <w:color w:val="000000"/>
                <w:sz w:val="18"/>
                <w:szCs w:val="24"/>
              </w:rPr>
              <w:t>2000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Внутренний шум автотранспортных средств. Допустимые уровни и методы измерений.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СНиП 23-05-95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Естественное и искусственное освещение.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НПБ 163-97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Пожарная техника. Основные пожарные автомобили. Общие технические требования. Методы испытаний.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НПБ 179-99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Пожарная техника. Устройства защитного отключения для пожарных машин. Общие технические требования. Методы испытаний.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Типаж пожарных автомобилей на 2001-2005 гг.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Наставление по газодымозащитной службе Государственной противопожарной службы МВД России.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Правила устройства электроустановок (ПУЭ).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Правила безопасности при эксплуатации электроустановок пожарных автомобилей и прицепов.</w:t>
      </w: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right"/>
        <w:rPr>
          <w:b/>
          <w:bCs/>
          <w:iCs/>
          <w:color w:val="000000"/>
          <w:szCs w:val="23"/>
        </w:rPr>
      </w:pPr>
      <w:r>
        <w:rPr>
          <w:b/>
          <w:bCs/>
          <w:iCs/>
          <w:color w:val="000000"/>
          <w:szCs w:val="23"/>
        </w:rPr>
        <w:t>ПРИЛОЖЕНИЕ А</w:t>
      </w:r>
    </w:p>
    <w:p w:rsidR="00811A6B" w:rsidRDefault="00811A6B">
      <w:pPr>
        <w:shd w:val="clear" w:color="auto" w:fill="FFFFFF"/>
        <w:ind w:firstLine="284"/>
        <w:jc w:val="right"/>
        <w:rPr>
          <w:iCs/>
          <w:color w:val="000000"/>
          <w:szCs w:val="23"/>
        </w:rPr>
      </w:pPr>
      <w:r>
        <w:rPr>
          <w:iCs/>
          <w:color w:val="000000"/>
          <w:szCs w:val="23"/>
        </w:rPr>
        <w:t>(рекомендуемое)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Рекомендуемая базовая комплектация аварийно-спасательного автомобиля</w:t>
      </w:r>
    </w:p>
    <w:p w:rsidR="00811A6B" w:rsidRDefault="00811A6B">
      <w:pPr>
        <w:shd w:val="clear" w:color="auto" w:fill="FFFFFF"/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6"/>
        <w:gridCol w:w="5259"/>
        <w:gridCol w:w="702"/>
        <w:gridCol w:w="851"/>
        <w:gridCol w:w="851"/>
      </w:tblGrid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№</w:t>
            </w:r>
          </w:p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п/п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Наименование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Легкий АСА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Средний АСА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Тяжелый АСА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2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4"/>
              </w:rPr>
              <w:t>Электросиловое оборудование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Встроенный электрогенератор, кВт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Распределительный щит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Катушка с магистральным силовым кабелем (</w:t>
            </w:r>
            <w:r>
              <w:rPr>
                <w:i/>
                <w:iCs/>
                <w:color w:val="000000"/>
                <w:szCs w:val="21"/>
                <w:lang w:val="en-US"/>
              </w:rPr>
              <w:t>L</w:t>
            </w:r>
            <w:r>
              <w:rPr>
                <w:color w:val="000000"/>
                <w:szCs w:val="21"/>
              </w:rPr>
              <w:t>=100 м),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Катушки с рабочим силовым кабелем (</w:t>
            </w:r>
            <w:r>
              <w:rPr>
                <w:i/>
                <w:iCs/>
                <w:color w:val="000000"/>
                <w:szCs w:val="21"/>
                <w:lang w:val="en-US"/>
              </w:rPr>
              <w:t>L</w:t>
            </w:r>
            <w:r>
              <w:rPr>
                <w:color w:val="000000"/>
                <w:szCs w:val="21"/>
              </w:rPr>
              <w:t>=25 м),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8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Релейное устройство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Выносной электрогенератор мощностью не менее, кВт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9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b/>
                <w:bCs/>
                <w:color w:val="000000"/>
                <w:szCs w:val="21"/>
              </w:rPr>
              <w:t>Оборудование для защиты от поражения электрическим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b/>
                <w:bCs/>
                <w:color w:val="000000"/>
                <w:szCs w:val="21"/>
              </w:rPr>
              <w:lastRenderedPageBreak/>
              <w:t>током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lastRenderedPageBreak/>
              <w:t>2.1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Защитно-отключающее устройство типа "Сигнал-1"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Прибор контроля изоляции типа Ф419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Штырь с кабелем для заземления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4"/>
              </w:rPr>
              <w:t>Катушка с кабелем для заземления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Перчатки диэлектрические, пар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Коврик резиновый диэлектрический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Мостики для электрокабеля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Сапоги резиновые, пар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Ножницы для резки электропроводов НРЭП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Боты диэлектрические, пар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2.11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Захват для переноски проводов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2.12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Указатель напряжения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1"/>
              </w:rPr>
              <w:t>Рабочая одежда спасателей типа А и Б, компл.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Аппарат искусственной вентиляции легких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Комплект теплоотражательный для пожарных типа ТОК- 200, компл.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Комплект специальной одежды пожарных для защиты от теплового воздействия и химических агрессивных сред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Перчатки замшевые пятипалые типа МИ МП, пар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Каска пожарная типа КП-92 или КП-98,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bottom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3.7</w:t>
            </w:r>
          </w:p>
        </w:tc>
        <w:tc>
          <w:tcPr>
            <w:tcW w:w="5259" w:type="dxa"/>
            <w:tcBorders>
              <w:bottom w:val="single" w:sz="4" w:space="0" w:color="auto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Рукавицы пожарные специальные, пар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3.8</w:t>
            </w:r>
          </w:p>
        </w:tc>
        <w:tc>
          <w:tcPr>
            <w:tcW w:w="5259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Специальная защитная обувь пожарных:</w:t>
            </w:r>
          </w:p>
        </w:tc>
        <w:tc>
          <w:tcPr>
            <w:tcW w:w="702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3.8.1</w:t>
            </w:r>
          </w:p>
        </w:tc>
        <w:tc>
          <w:tcPr>
            <w:tcW w:w="5259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резиновая специальная обувь, пар</w:t>
            </w: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3.8.2</w:t>
            </w:r>
          </w:p>
        </w:tc>
        <w:tc>
          <w:tcPr>
            <w:tcW w:w="5259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кожаная специальная обувь, пар</w:t>
            </w:r>
          </w:p>
        </w:tc>
        <w:tc>
          <w:tcPr>
            <w:tcW w:w="702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Дыхательный аппарат со сжатым воздухом типа АИР-98МИ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Респиратор изолирующий типа "Урал-10"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3.11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Прибор для проверки противогазов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Оборудование для вентиляции и нормализации воздушной среды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4.1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Дымосос типа ДПЭ-15 в комплекте со всасывающим и напорным рукавами и пеногенераторной установкой,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Осветительное и сигнальное оборудование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Телескопическая осветительная мачта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Прожекторы на осветительной мачте ПКН 1500,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4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Прожектор переносной ПКН 1500,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Фара автомобильная поворотная ФГ-16,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Фонарь электрический ручной типа ФОС,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Жезл уличного регулировщика с подсветкой,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Ограждение конусное,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Знак "Прочие опасности",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Сигнальное устройство,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 xml:space="preserve">Веревка с флажками ограждения </w:t>
            </w:r>
            <w:r>
              <w:rPr>
                <w:i/>
                <w:iCs/>
                <w:color w:val="000000"/>
                <w:szCs w:val="22"/>
                <w:lang w:val="en-US"/>
              </w:rPr>
              <w:t>L</w:t>
            </w:r>
            <w:r>
              <w:rPr>
                <w:color w:val="000000"/>
                <w:szCs w:val="22"/>
              </w:rPr>
              <w:t>=30 м,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Средства спасания с высоты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Веревка пожарная спасательная ВПС-30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0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Веревка пожарная спасательная ВПС-50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Лестница-палка металлическая типа ЛПМ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6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Лестница пожарная ручная трехколенная типа Л-60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4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0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Комплект спасательного снаряжения КСС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6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Устройство группового спасания типа "Слип-эвакуатор", модель "Качели"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Натяжное спасательное полотно 4,5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4,5 м (НСП)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3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Индивидуальное спасательное устройство типа УСПИ-4-50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6.9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Пневматическое прыжковое спасательное устройство 4,5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4,5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2 м (ППСУ-30)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Оборудование для проведения спасательных работ на водоемах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lastRenderedPageBreak/>
              <w:t>7.1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Аппарат изолирующий дыхательный типа ИДА-71У,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4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7.2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Гидрокостюм водолазный унифицированный, компл.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7.3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Наручный компас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7.4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Лодка резиновая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7.5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Круг спасательный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7.6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Спасательный жилет,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3"/>
              </w:rPr>
              <w:t>Оборудование для сбора и перекачки жидкостей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Мотопомпа МП-800 в комплекте с рукавами и заборной сеткой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Глубинный электронасос типа «Гном-10-10"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Резервуар мягкий закрытого типа РДП-3т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Заглушки разные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Воронка сборная, мягкая, Ду-50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Гребок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8.7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Совок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3"/>
              </w:rPr>
              <w:t>Первичные средства пожаротушения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9.1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Ведро металлическое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9.2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Лопата штыковая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9.3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Лопата совковая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9.4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Ломы разные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9.5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Огнетушитель углекислотный типа ОУ-5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9.6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Огнетушитель порошковый типа ОП-5-02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9.7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Полотно огнезащитное (кошма)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Средства связи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Стационарная радиостанция типа "Сапфир",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Переносная радиостанция типа "Радий",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Электромегафон типа ЭМ-15, шт.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Система сигнально-громкоговорящая СГС-100-1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Сигнально-переговорное устройство типа СПУ-3А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Немеханизированный инструмент и снаряжение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Комплект универсальный типа УКИ-12 в составе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Штанга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Лом-пика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Лом-зубило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 монтажный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 шаровой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 универсальный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Лом-клин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 xml:space="preserve">Лом-гвоздодер 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11.1.9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Лом-крюк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Лопата ЛК-Ч-930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Багор пожарный цельнометаллический типа БПМ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Ножовка столярная типа 1-525-5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Пила двухручная в чехле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Топор средний типа А №3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Набор слесарного инструмента в ящике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Инструмент для слесарно-водопроводных работ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Лампа паяльная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Кувалда (5 кг) типа 1212-0301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11.11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Инструмент ручной аварийно-спасательный типа ИРАС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3"/>
              </w:rPr>
              <w:t>Механизированный инструмент и оборудование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Гидравлический инструмент аварийно-спасательный типа "Простор"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Аппарат ручной дуговой сварки типа "Адонис-2"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Молоток электрический типа ИЭ-4211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Мотолебедка типа МЛ-2000М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Ножницы гидравлические типа НГ-16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Пила электрическая дисковая типа ИЭ-51025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lastRenderedPageBreak/>
              <w:t>12.7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Пила электрическая цепная типа "Парма-М"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Очки защитные темные типа 3Н8-72ГА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Установка автогенорезательная ранцевая РУ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Перфоратор ручной электрический типа ИЭ-4724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12.11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Пневмодомкраты типа ПД-4, ПД-10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12.12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Лебедка ручная типа ЛР-0,25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3"/>
              </w:rPr>
              <w:t>Вспомогательное оборудование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Канистра для топлива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Набор тросов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Серьги для тросов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Газовые ключи №1-№5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Пила-ножовка по металлу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Подкладки стопорные под колеса автомобиля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13.7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Шлямбур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iCs/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13.8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Набор инструмента электромонтера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13.9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Струбцина типа С-150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13.10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Зубило кузнечное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Ключ гаечный разводной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Воронка сборная мягкая ДУ-50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 xml:space="preserve">Веревка льняная диаметром 6 мм, </w:t>
            </w:r>
            <w:r>
              <w:rPr>
                <w:i/>
                <w:iCs/>
                <w:color w:val="000000"/>
                <w:szCs w:val="22"/>
                <w:lang w:val="en-US"/>
              </w:rPr>
              <w:t>L</w:t>
            </w:r>
            <w:r>
              <w:rPr>
                <w:color w:val="000000"/>
                <w:szCs w:val="22"/>
              </w:rPr>
              <w:t>=2 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 xml:space="preserve">Канат капроновый диаметром 10 мм, </w:t>
            </w:r>
            <w:r>
              <w:rPr>
                <w:i/>
                <w:iCs/>
                <w:color w:val="000000"/>
                <w:szCs w:val="22"/>
                <w:lang w:val="en-US"/>
              </w:rPr>
              <w:t>L</w:t>
            </w:r>
            <w:r>
              <w:rPr>
                <w:color w:val="000000"/>
                <w:szCs w:val="22"/>
              </w:rPr>
              <w:t>=10 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Пленка водозащитная полиэтиленовая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13.16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 xml:space="preserve">Проволока стальная в скатке диаметром 4 мм, </w:t>
            </w:r>
            <w:r>
              <w:rPr>
                <w:i/>
                <w:iCs/>
                <w:color w:val="000000"/>
                <w:szCs w:val="22"/>
              </w:rPr>
              <w:t>L</w:t>
            </w:r>
            <w:r>
              <w:rPr>
                <w:color w:val="000000"/>
                <w:szCs w:val="22"/>
              </w:rPr>
              <w:t>=20 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2"/>
              </w:rPr>
              <w:t>Приборы для проведения химической и радиационной защиты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14.1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Газоанализатор типа "Пчелка"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14.2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Прибор комбинированный для измерения ионизирующих излучений РКСВ-104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14.3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Измеритель мощности дозы типа ИМД-5 (рентгенметр)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14.4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Прибор химической разведки войсковой типа ВПХР-М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15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3"/>
              </w:rPr>
              <w:t>Средства для оказания первой доврачебной медицинской помощи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15.1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Аптечка медицинская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15.2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Носилки санитарные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16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3"/>
              </w:rPr>
              <w:t>Грузоподъемные механизмы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16.1</w:t>
            </w:r>
          </w:p>
        </w:tc>
        <w:tc>
          <w:tcPr>
            <w:tcW w:w="525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Кран-манипулятор</w:t>
            </w:r>
          </w:p>
        </w:tc>
        <w:tc>
          <w:tcPr>
            <w:tcW w:w="70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-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  <w:tc>
          <w:tcPr>
            <w:tcW w:w="851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3"/>
              </w:rPr>
              <w:t>+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color w:val="000000"/>
          <w:szCs w:val="22"/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  <w:rPr>
          <w:sz w:val="18"/>
        </w:rPr>
      </w:pPr>
      <w:r>
        <w:rPr>
          <w:color w:val="000000"/>
          <w:sz w:val="18"/>
          <w:szCs w:val="22"/>
        </w:rPr>
        <w:t>Примечание. Типоразмерный ряд аварийно-спасательных автомобилей следующий: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 w:val="18"/>
          <w:szCs w:val="21"/>
          <w:lang w:val="en-US"/>
        </w:rPr>
      </w:pPr>
      <w:r>
        <w:rPr>
          <w:color w:val="000000"/>
          <w:sz w:val="18"/>
          <w:szCs w:val="21"/>
        </w:rPr>
        <w:t xml:space="preserve">легкий АСА (полная масса до 3500 кг); 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 w:val="18"/>
          <w:szCs w:val="21"/>
          <w:lang w:val="en-US"/>
        </w:rPr>
      </w:pPr>
      <w:r>
        <w:rPr>
          <w:color w:val="000000"/>
          <w:sz w:val="18"/>
          <w:szCs w:val="21"/>
        </w:rPr>
        <w:t xml:space="preserve">средний АСА (полная масса до 7000 кг); 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 w:val="18"/>
          <w:szCs w:val="21"/>
          <w:lang w:val="en-US"/>
        </w:rPr>
      </w:pPr>
      <w:r>
        <w:rPr>
          <w:color w:val="000000"/>
          <w:sz w:val="18"/>
          <w:szCs w:val="21"/>
        </w:rPr>
        <w:t>тяжелый АСА (полная масса более 7000 кг).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1"/>
          <w:lang w:val="en-US"/>
        </w:rPr>
      </w:pP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right"/>
        <w:rPr>
          <w:b/>
          <w:bCs/>
          <w:iCs/>
          <w:color w:val="000000"/>
          <w:szCs w:val="21"/>
        </w:rPr>
      </w:pPr>
      <w:r>
        <w:rPr>
          <w:b/>
          <w:bCs/>
          <w:iCs/>
          <w:color w:val="000000"/>
          <w:szCs w:val="21"/>
        </w:rPr>
        <w:t>ПРИЛОЖЕНИЕ В</w:t>
      </w:r>
    </w:p>
    <w:p w:rsidR="00811A6B" w:rsidRDefault="00811A6B">
      <w:pPr>
        <w:shd w:val="clear" w:color="auto" w:fill="FFFFFF"/>
        <w:ind w:firstLine="284"/>
        <w:jc w:val="right"/>
        <w:rPr>
          <w:iCs/>
          <w:color w:val="000000"/>
          <w:szCs w:val="21"/>
          <w:lang w:val="en-US"/>
        </w:rPr>
      </w:pPr>
      <w:r>
        <w:rPr>
          <w:iCs/>
          <w:color w:val="000000"/>
          <w:szCs w:val="21"/>
        </w:rPr>
        <w:t>(обязательное)</w:t>
      </w:r>
    </w:p>
    <w:p w:rsidR="00811A6B" w:rsidRDefault="00811A6B">
      <w:pPr>
        <w:shd w:val="clear" w:color="auto" w:fill="FFFFFF"/>
        <w:ind w:firstLine="284"/>
        <w:jc w:val="both"/>
        <w:rPr>
          <w:lang w:val="en-US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</w:rPr>
      </w:pPr>
      <w:r>
        <w:rPr>
          <w:b/>
          <w:color w:val="000000"/>
          <w:szCs w:val="23"/>
        </w:rPr>
        <w:t>ПЕРЕЧЕНЬ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3"/>
          <w:lang w:val="en-US"/>
        </w:rPr>
      </w:pPr>
      <w:r>
        <w:rPr>
          <w:b/>
          <w:color w:val="000000"/>
          <w:szCs w:val="23"/>
        </w:rPr>
        <w:t>технических требований, обязательных при сертификации аварийно-спасательных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автомобилей для выдачи "Одобрения типа транспортного средства"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3"/>
          <w:lang w:val="en-US"/>
        </w:rPr>
      </w:pPr>
      <w:r>
        <w:rPr>
          <w:b/>
          <w:color w:val="000000"/>
          <w:szCs w:val="23"/>
        </w:rPr>
        <w:t>со сроком действия 1 и 3 года</w:t>
      </w:r>
    </w:p>
    <w:p w:rsidR="00811A6B" w:rsidRDefault="00811A6B">
      <w:pPr>
        <w:shd w:val="clear" w:color="auto" w:fill="FFFFFF"/>
        <w:ind w:firstLine="284"/>
        <w:jc w:val="right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357"/>
        <w:gridCol w:w="1557"/>
        <w:gridCol w:w="590"/>
        <w:gridCol w:w="865"/>
      </w:tblGrid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7" w:type="dxa"/>
            <w:vMerge w:val="restart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Технические требования или объекты регламентации</w:t>
            </w:r>
          </w:p>
        </w:tc>
        <w:tc>
          <w:tcPr>
            <w:tcW w:w="1557" w:type="dxa"/>
            <w:vMerge w:val="restart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Пункты нормативных</w:t>
            </w:r>
          </w:p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ссылок</w:t>
            </w:r>
          </w:p>
        </w:tc>
        <w:tc>
          <w:tcPr>
            <w:tcW w:w="1455" w:type="dxa"/>
            <w:gridSpan w:val="2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Применяемость показателей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7" w:type="dxa"/>
            <w:vMerge/>
          </w:tcPr>
          <w:p w:rsidR="00811A6B" w:rsidRDefault="00811A6B">
            <w:pPr>
              <w:jc w:val="both"/>
            </w:pPr>
          </w:p>
        </w:tc>
        <w:tc>
          <w:tcPr>
            <w:tcW w:w="1557" w:type="dxa"/>
            <w:vMerge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 год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3 года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1. Полная масса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3.2.3, 5.3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2. Распределение нагрузки на дорогу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3.6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3. Поперечная устойчивость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3.2.13, 5.5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4. Габаритные размеры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3.2.5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5. Номинальные параметры электросиловой установки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 xml:space="preserve">3.10, 3.12.1, </w:t>
            </w:r>
            <w:r>
              <w:rPr>
                <w:color w:val="000000"/>
                <w:szCs w:val="22"/>
              </w:rPr>
              <w:lastRenderedPageBreak/>
              <w:t>3.12.2, 3.12.4, 3.16.1, 5.8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lastRenderedPageBreak/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lastRenderedPageBreak/>
              <w:t>6. Электробезопасность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3.18, 5.7, 5.9, 5.11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iCs/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7. Параметры стационарной осветительной мачты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3.19, 5.10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8. Цвет и цветографическая схема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3.3.1, 5.19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9. Звуковые и сигнальные приборы и их установка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10. Установка устройств освещения и световой сигнализации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11. Тормозные свойства и тормозные системы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12. Параметры проходимости (геометрические)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13. Вентиляция и отопление салона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3.5.15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-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14. Баланс электроэнергии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15. Непрерывная 6-часовая работа двигателя на привод электрического генератора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5.6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16. Топливная экономичность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3.3.1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17. Антропометрические показатели салона и кузова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3.5, 3.6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18. Содержание вредных веществ в салоне и кабине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3.5.16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iCs/>
                <w:color w:val="000000"/>
                <w:szCs w:val="21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19. Внутренний шум, внешний шум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3.5.5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iCs/>
                <w:color w:val="000000"/>
                <w:szCs w:val="21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20. Уровень шума на рабочем месте оператора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3.5.5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iCs/>
                <w:color w:val="000000"/>
                <w:szCs w:val="21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21. Удельная мощность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3.2.4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22. Уровень загазованности на рабочем месте оператора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3.5.16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23. Прочность элементов конструкции и крепления съемного и стационарного оборудования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3.5.4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5357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24. Параметры разветвительных коробок и кабельных катушек</w:t>
            </w:r>
          </w:p>
        </w:tc>
        <w:tc>
          <w:tcPr>
            <w:tcW w:w="1557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3.17, 5.12</w:t>
            </w:r>
          </w:p>
        </w:tc>
        <w:tc>
          <w:tcPr>
            <w:tcW w:w="59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  <w:tc>
          <w:tcPr>
            <w:tcW w:w="865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+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811A6B" w:rsidRDefault="00811A6B">
      <w:pPr>
        <w:shd w:val="clear" w:color="auto" w:fill="FFFFFF"/>
        <w:ind w:firstLine="284"/>
        <w:jc w:val="right"/>
        <w:rPr>
          <w:b/>
          <w:bCs/>
          <w:iCs/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>ПРИЛОЖЕНИЕ С</w:t>
      </w:r>
    </w:p>
    <w:p w:rsidR="00811A6B" w:rsidRDefault="00811A6B">
      <w:pPr>
        <w:shd w:val="clear" w:color="auto" w:fill="FFFFFF"/>
        <w:ind w:firstLine="284"/>
        <w:jc w:val="right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(обязательное)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Максимальные допускаемые значения погрешностей измерения</w:t>
      </w:r>
    </w:p>
    <w:p w:rsidR="00811A6B" w:rsidRDefault="00811A6B">
      <w:pPr>
        <w:shd w:val="clear" w:color="auto" w:fill="FFFFFF"/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500"/>
        <w:gridCol w:w="1730"/>
      </w:tblGrid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39" w:type="dxa"/>
            <w:vMerge w:val="restart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Измеряемый параметр</w:t>
            </w:r>
          </w:p>
        </w:tc>
        <w:tc>
          <w:tcPr>
            <w:tcW w:w="4230" w:type="dxa"/>
            <w:gridSpan w:val="2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Допустимая погрешность измерения параметров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39" w:type="dxa"/>
            <w:vMerge/>
          </w:tcPr>
          <w:p w:rsidR="00811A6B" w:rsidRDefault="00811A6B">
            <w:pPr>
              <w:jc w:val="both"/>
            </w:pP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Абсолютная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 xml:space="preserve">Относительная, </w:t>
            </w:r>
            <w:r>
              <w:rPr>
                <w:iCs/>
                <w:color w:val="000000"/>
              </w:rPr>
              <w:t>%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Линейные размеры, мм: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10</w:t>
            </w:r>
            <w:r>
              <w:rPr>
                <w:color w:val="000000"/>
                <w:szCs w:val="22"/>
                <w:vertAlign w:val="superscript"/>
              </w:rPr>
              <w:t>2</w:t>
            </w:r>
            <w:r>
              <w:rPr>
                <w:color w:val="000000"/>
                <w:szCs w:val="22"/>
              </w:rPr>
              <w:t xml:space="preserve"> до 10</w:t>
            </w:r>
            <w:r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1</w:t>
            </w:r>
            <w:r>
              <w:rPr>
                <w:color w:val="000000"/>
                <w:szCs w:val="22"/>
                <w:lang w:val="en-US"/>
              </w:rPr>
              <w:t>0</w:t>
            </w:r>
            <w:r>
              <w:rPr>
                <w:color w:val="000000"/>
                <w:szCs w:val="22"/>
                <w:vertAlign w:val="superscript"/>
                <w:lang w:val="en-US"/>
              </w:rPr>
              <w:t>3</w:t>
            </w:r>
            <w:r>
              <w:rPr>
                <w:color w:val="000000"/>
                <w:szCs w:val="22"/>
                <w:lang w:val="en-US"/>
              </w:rPr>
              <w:t xml:space="preserve"> </w:t>
            </w:r>
            <w:r>
              <w:rPr>
                <w:color w:val="000000"/>
                <w:szCs w:val="22"/>
              </w:rPr>
              <w:t>до 10</w:t>
            </w:r>
            <w:r>
              <w:rPr>
                <w:color w:val="000000"/>
                <w:szCs w:val="22"/>
                <w:vertAlign w:val="superscript"/>
              </w:rPr>
              <w:t>4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свыше 10</w:t>
            </w:r>
            <w:r>
              <w:rPr>
                <w:color w:val="000000"/>
                <w:szCs w:val="22"/>
                <w:vertAlign w:val="superscript"/>
              </w:rPr>
              <w:t>4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Масса, г: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10</w:t>
            </w:r>
            <w:r>
              <w:rPr>
                <w:color w:val="000000"/>
                <w:szCs w:val="22"/>
                <w:vertAlign w:val="superscript"/>
              </w:rPr>
              <w:t>3</w:t>
            </w:r>
            <w:r>
              <w:rPr>
                <w:color w:val="000000"/>
                <w:szCs w:val="22"/>
              </w:rPr>
              <w:t xml:space="preserve"> до 10</w:t>
            </w:r>
            <w:r>
              <w:rPr>
                <w:color w:val="000000"/>
                <w:szCs w:val="22"/>
                <w:vertAlign w:val="superscript"/>
              </w:rPr>
              <w:t>6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свыше 10</w:t>
            </w:r>
            <w:r>
              <w:rPr>
                <w:color w:val="000000"/>
                <w:szCs w:val="22"/>
                <w:vertAlign w:val="superscript"/>
              </w:rPr>
              <w:t>6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Скорость: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а) линейная, м/с: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0 до 5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0,1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св. 5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1,5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б) частота вращения, с</w:t>
            </w:r>
            <w:r>
              <w:rPr>
                <w:color w:val="000000"/>
                <w:szCs w:val="22"/>
                <w:vertAlign w:val="superscript"/>
              </w:rPr>
              <w:t>-1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Время, с: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0 до 3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100 включительно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0,1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3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100 до 3,6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1000 включительно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0,2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св. 3,6</w:t>
            </w:r>
            <w:r>
              <w:rPr>
                <w:color w:val="000000"/>
                <w:szCs w:val="22"/>
              </w:rPr>
              <w:sym w:font="Symbol" w:char="F0B4"/>
            </w:r>
            <w:r>
              <w:rPr>
                <w:color w:val="000000"/>
                <w:szCs w:val="22"/>
              </w:rPr>
              <w:t>1000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Площадь, м</w:t>
            </w:r>
            <w:r>
              <w:rPr>
                <w:color w:val="000000"/>
                <w:szCs w:val="23"/>
                <w:vertAlign w:val="superscript"/>
              </w:rPr>
              <w:t>2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Сила, Н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Угловые величины, град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Освещенность, лк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10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Уровень виброскорости и виброускорения, м/с</w:t>
            </w:r>
            <w:r>
              <w:rPr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0,2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Уровень шума, дБ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6"/>
              </w:rP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Температура, °С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0,5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18"/>
              </w:rPr>
              <w:t>-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Напряжение, В, от 0 до 400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  <w:szCs w:val="22"/>
              </w:rP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3"/>
              </w:rPr>
              <w:t>Частота тока, Гц:</w:t>
            </w:r>
          </w:p>
        </w:tc>
        <w:tc>
          <w:tcPr>
            <w:tcW w:w="2500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730" w:type="dxa"/>
            <w:tcBorders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lastRenderedPageBreak/>
              <w:t>от 42 до 56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от 380 до 420</w:t>
            </w:r>
          </w:p>
        </w:tc>
        <w:tc>
          <w:tcPr>
            <w:tcW w:w="2500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</w:tcBorders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4139" w:type="dxa"/>
          </w:tcPr>
          <w:p w:rsidR="00811A6B" w:rsidRDefault="00811A6B">
            <w:pPr>
              <w:shd w:val="clear" w:color="auto" w:fill="FFFFFF"/>
              <w:jc w:val="both"/>
            </w:pPr>
            <w:r>
              <w:rPr>
                <w:color w:val="000000"/>
                <w:szCs w:val="22"/>
              </w:rPr>
              <w:t>Сопротивление, Ом</w:t>
            </w:r>
          </w:p>
        </w:tc>
        <w:tc>
          <w:tcPr>
            <w:tcW w:w="250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73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2,5</w:t>
            </w: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  <w:szCs w:val="22"/>
        </w:rPr>
      </w:pPr>
    </w:p>
    <w:p w:rsidR="00811A6B" w:rsidRDefault="00811A6B">
      <w:pPr>
        <w:shd w:val="clear" w:color="auto" w:fill="FFFFFF"/>
        <w:ind w:firstLine="284"/>
        <w:jc w:val="right"/>
        <w:rPr>
          <w:b/>
          <w:bCs/>
          <w:iCs/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>ПРИЛОЖЕНИЕ Д</w:t>
      </w:r>
    </w:p>
    <w:p w:rsidR="00811A6B" w:rsidRDefault="00811A6B">
      <w:pPr>
        <w:shd w:val="clear" w:color="auto" w:fill="FFFFFF"/>
        <w:ind w:firstLine="284"/>
        <w:jc w:val="right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(рекомендуемое)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ПРОТОКОЛ</w:t>
      </w: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испытаний аварийно-спасательного автомобиля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Наименование испытаний _________________________________________________________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Место проведения испытаний ______________________________________________________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Дата проведения испытаний _______________________________________________________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</w:rPr>
      </w:pPr>
      <w:r>
        <w:rPr>
          <w:iCs/>
          <w:color w:val="000000"/>
        </w:rPr>
        <w:t>________________________________________________________________________________</w:t>
      </w:r>
    </w:p>
    <w:p w:rsidR="00811A6B" w:rsidRDefault="00811A6B">
      <w:pPr>
        <w:shd w:val="clear" w:color="auto" w:fill="FFFFFF"/>
        <w:ind w:firstLine="284"/>
        <w:jc w:val="center"/>
        <w:rPr>
          <w:iCs/>
          <w:color w:val="000000"/>
          <w:sz w:val="18"/>
        </w:rPr>
      </w:pPr>
      <w:r>
        <w:rPr>
          <w:iCs/>
          <w:color w:val="000000"/>
          <w:sz w:val="18"/>
        </w:rPr>
        <w:t>(наименование предприятия-изготовителя, государственный номерной знак,</w:t>
      </w:r>
    </w:p>
    <w:p w:rsidR="00811A6B" w:rsidRDefault="00811A6B">
      <w:pPr>
        <w:shd w:val="clear" w:color="auto" w:fill="FFFFFF"/>
        <w:ind w:firstLine="284"/>
        <w:jc w:val="center"/>
        <w:rPr>
          <w:sz w:val="18"/>
        </w:rPr>
      </w:pPr>
      <w:r>
        <w:rPr>
          <w:iCs/>
          <w:color w:val="000000"/>
          <w:sz w:val="18"/>
        </w:rPr>
        <w:t>номер двигателя, год выпуска)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Сведения о нормативно-технических документах, устанавливающих требования к испытываемой продукции (ГОСТ, ТУ)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iCs/>
          <w:color w:val="000000"/>
        </w:rPr>
        <w:t>________________________________________________________________________________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Предъявитель образца на испытания ________________________________________________</w:t>
      </w:r>
    </w:p>
    <w:p w:rsidR="00811A6B" w:rsidRDefault="00811A6B">
      <w:pPr>
        <w:shd w:val="clear" w:color="auto" w:fill="FFFFFF"/>
        <w:ind w:firstLine="284"/>
        <w:jc w:val="center"/>
        <w:rPr>
          <w:sz w:val="18"/>
        </w:rPr>
      </w:pPr>
      <w:r>
        <w:rPr>
          <w:iCs/>
          <w:color w:val="000000"/>
          <w:sz w:val="18"/>
        </w:rPr>
        <w:t>(наименование и почтовый адрес предприятия)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Атмосферные условия: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Относительная влажность 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Температура воздуха, °С _____________________________________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Барометрическое давление, ГПа (мм рт.ст.) _____________________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5"/>
        </w:rPr>
        <w:t>Средства испытаний ________________________________________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Результаты испытаний</w:t>
      </w:r>
    </w:p>
    <w:p w:rsidR="00811A6B" w:rsidRDefault="00811A6B">
      <w:pPr>
        <w:shd w:val="clear" w:color="auto" w:fill="FFFFFF"/>
        <w:ind w:firstLine="284"/>
        <w:jc w:val="both"/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09"/>
        <w:gridCol w:w="1892"/>
        <w:gridCol w:w="1270"/>
        <w:gridCol w:w="560"/>
        <w:gridCol w:w="638"/>
      </w:tblGrid>
      <w:tr w:rsidR="00811A6B">
        <w:tblPrEx>
          <w:tblCellMar>
            <w:top w:w="0" w:type="dxa"/>
            <w:bottom w:w="0" w:type="dxa"/>
          </w:tblCellMar>
        </w:tblPrEx>
        <w:tc>
          <w:tcPr>
            <w:tcW w:w="3709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Наименование определяемого показателя</w:t>
            </w:r>
          </w:p>
        </w:tc>
        <w:tc>
          <w:tcPr>
            <w:tcW w:w="1892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27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Обозначение</w:t>
            </w:r>
          </w:p>
        </w:tc>
        <w:tc>
          <w:tcPr>
            <w:tcW w:w="1198" w:type="dxa"/>
            <w:gridSpan w:val="2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Величина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3709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892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1270" w:type="dxa"/>
          </w:tcPr>
          <w:p w:rsidR="00811A6B" w:rsidRDefault="00811A6B">
            <w:pPr>
              <w:shd w:val="clear" w:color="auto" w:fill="FFFFFF"/>
              <w:jc w:val="center"/>
            </w:pPr>
          </w:p>
        </w:tc>
        <w:tc>
          <w:tcPr>
            <w:tcW w:w="560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aps/>
                <w:color w:val="000000"/>
                <w:szCs w:val="28"/>
              </w:rPr>
              <w:t>нтд</w:t>
            </w:r>
          </w:p>
        </w:tc>
        <w:tc>
          <w:tcPr>
            <w:tcW w:w="638" w:type="dxa"/>
          </w:tcPr>
          <w:p w:rsidR="00811A6B" w:rsidRDefault="00811A6B">
            <w:pPr>
              <w:shd w:val="clear" w:color="auto" w:fill="FFFFFF"/>
              <w:jc w:val="center"/>
            </w:pPr>
            <w:r>
              <w:rPr>
                <w:color w:val="000000"/>
              </w:rPr>
              <w:t>Факт.</w:t>
            </w: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3709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1892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1270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560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638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</w:tr>
      <w:tr w:rsidR="00811A6B">
        <w:tblPrEx>
          <w:tblCellMar>
            <w:top w:w="0" w:type="dxa"/>
            <w:bottom w:w="0" w:type="dxa"/>
          </w:tblCellMar>
        </w:tblPrEx>
        <w:tc>
          <w:tcPr>
            <w:tcW w:w="3709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1892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1270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560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  <w:tc>
          <w:tcPr>
            <w:tcW w:w="638" w:type="dxa"/>
          </w:tcPr>
          <w:p w:rsidR="00811A6B" w:rsidRDefault="00811A6B">
            <w:pPr>
              <w:shd w:val="clear" w:color="auto" w:fill="FFFFFF"/>
              <w:jc w:val="both"/>
            </w:pPr>
          </w:p>
        </w:tc>
      </w:tr>
    </w:tbl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Заключение по результатам испытаний: ___________________________________________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iCs/>
          <w:color w:val="000000"/>
        </w:rPr>
      </w:pPr>
      <w:r>
        <w:rPr>
          <w:iCs/>
          <w:color w:val="000000"/>
        </w:rPr>
        <w:t>________________________________________________________________________________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iCs/>
          <w:color w:val="000000"/>
        </w:rPr>
        <w:t>________________________________________________________________________________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 xml:space="preserve">Испытания проводили: 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3"/>
        </w:rPr>
      </w:pPr>
      <w:r>
        <w:rPr>
          <w:color w:val="000000"/>
          <w:szCs w:val="23"/>
        </w:rPr>
        <w:t>Руководитель испытаний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3"/>
        </w:rPr>
      </w:pP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center"/>
        <w:rPr>
          <w:bCs/>
          <w:color w:val="000000"/>
          <w:szCs w:val="23"/>
        </w:rPr>
      </w:pPr>
      <w:r>
        <w:rPr>
          <w:b/>
          <w:color w:val="000000"/>
          <w:szCs w:val="23"/>
        </w:rPr>
        <w:t>СОДЕРЖАНИЕ</w:t>
      </w:r>
    </w:p>
    <w:p w:rsidR="00811A6B" w:rsidRDefault="00811A6B">
      <w:pPr>
        <w:shd w:val="clear" w:color="auto" w:fill="FFFFFF"/>
        <w:ind w:firstLine="284"/>
        <w:jc w:val="both"/>
      </w:pP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1. Область применения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2. Термины, определения и обозначение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3. Технические требования пожарной безопасности к аварийно-спасательному автомобилю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4. Правила приемки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5. Методы испытаний</w:t>
      </w:r>
    </w:p>
    <w:p w:rsidR="00811A6B" w:rsidRDefault="00811A6B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6. Нормативные ссылки </w:t>
      </w:r>
    </w:p>
    <w:p w:rsidR="00811A6B" w:rsidRDefault="00811A6B">
      <w:pPr>
        <w:shd w:val="clear" w:color="auto" w:fill="FFFFFF"/>
        <w:ind w:firstLine="284"/>
        <w:jc w:val="both"/>
      </w:pPr>
      <w:r>
        <w:rPr>
          <w:color w:val="000000"/>
          <w:szCs w:val="24"/>
        </w:rPr>
        <w:t>Приложения</w:t>
      </w:r>
    </w:p>
    <w:sectPr w:rsidR="00811A6B">
      <w:pgSz w:w="11907" w:h="16840" w:code="9"/>
      <w:pgMar w:top="1440" w:right="1797" w:bottom="1440" w:left="179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E809C4"/>
    <w:rsid w:val="004F0F75"/>
    <w:rsid w:val="00811A6B"/>
    <w:rsid w:val="00E8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12356</Words>
  <Characters>70430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НПБ 312-2003</vt:lpstr>
    </vt:vector>
  </TitlesOfParts>
  <Company>AlexSoft</Company>
  <LinksUpToDate>false</LinksUpToDate>
  <CharactersWithSpaces>82621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НПБ 312-2003</dc:title>
  <dc:creator>Home</dc:creator>
  <cp:lastModifiedBy>Home</cp:lastModifiedBy>
  <cp:revision>2</cp:revision>
  <cp:lastPrinted>1601-01-01T00:00:00Z</cp:lastPrinted>
  <dcterms:created xsi:type="dcterms:W3CDTF">2016-03-17T10:30:00Z</dcterms:created>
  <dcterms:modified xsi:type="dcterms:W3CDTF">2016-03-17T10:30:00Z</dcterms:modified>
</cp:coreProperties>
</file>