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2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76526">
        <w:rPr>
          <w:rFonts w:ascii="Times New Roman" w:hAnsi="Times New Roman"/>
          <w:sz w:val="28"/>
          <w:szCs w:val="28"/>
        </w:rPr>
        <w:t>МИНИСТЕРСТВО ПУТЕЙ</w:t>
      </w:r>
      <w:r w:rsid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>СООБЩЕНИЯ</w:t>
      </w:r>
    </w:p>
    <w:p w:rsidR="00257C73" w:rsidRPr="0077652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РОССИЙСКОЙ ФЕДЕРАЦИИ </w:t>
      </w:r>
    </w:p>
    <w:p w:rsidR="00257C73" w:rsidRPr="0077652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257C73" w:rsidRPr="0077652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УПРАВЛЕНИЕ</w:t>
      </w:r>
      <w:r w:rsid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 xml:space="preserve">ВОЕНИЗИРОВАННОЙ ОХРАНЫ </w:t>
      </w:r>
    </w:p>
    <w:p w:rsidR="00257C73" w:rsidRPr="0077652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776526" w:rsidRDefault="00776526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257C73" w:rsidRPr="0077652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РЕКОМЕНДАЦИИ</w:t>
      </w:r>
    </w:p>
    <w:p w:rsidR="00257C73" w:rsidRPr="0077652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ПО ТУШЕНИЮ ПОЖАРОВ</w:t>
      </w:r>
      <w:r w:rsidR="00570D8E" w:rsidRP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 xml:space="preserve">В ЖЕЛЕЗНОДОРОЖНЫХ ТОННЕЛЯХ </w:t>
      </w:r>
    </w:p>
    <w:p w:rsidR="00257C73" w:rsidRPr="00776526" w:rsidRDefault="00257C73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РАЗРАБОТАНЫ Санкт-Петербургским</w:t>
      </w:r>
      <w:r w:rsid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>филиалом ВНИИПО.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СОГЛАСОВАНЫ заместителем начальника</w:t>
      </w:r>
      <w:r w:rsid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>Государственной противопожарной службы МВД РФ В.Т.</w:t>
      </w:r>
      <w:r w:rsidR="00570D8E" w:rsidRP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>Кишкурно 5 сентября 1994 г.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УТВЕРЖДЕНЫ Начальником Управления военизированной охраны МПС РФ В.В.</w:t>
      </w:r>
      <w:r w:rsidR="00570D8E" w:rsidRP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>Тройниным 26 октября 1994 г. № ЦУОП-1/73.</w:t>
      </w:r>
    </w:p>
    <w:p w:rsidR="00257C73" w:rsidRPr="00776526" w:rsidRDefault="00257C73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257C73" w:rsidRDefault="00776526" w:rsidP="00776526">
      <w:pPr>
        <w:pStyle w:val="Heading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257C73" w:rsidRPr="00776526" w:rsidRDefault="00257C73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Рекомендации устанавливают порядок действий работников железнодорожного транспорта по проведению эвакуационно-спасательных работ и тушению пожаров в железнодорожных тоннелях, а</w:t>
      </w:r>
      <w:r w:rsidR="00776526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>также порядок их взаимодействия с подразделениями других министерств и ведомств.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Ответственность за выполнение требований настоящих Рекомендаций возлагается на: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машинистов грузовых, дизель- и электропоездов;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начальников рефрижераторных секций, начальников пассажирских поездов;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начальствующий состав пожарных подразделений военизированной охраны МПС;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должностных лиц восстановительных поездов и аварийно-спасательных подразделений;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дежурный обслуживающий персонал тоннеля;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проводников, сопровождающих почтово-багажные и специальные вагоны;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лиц, ответственных за организацию и руководство эвакуационно-спасательными работами и тушение пожара.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Начальствующий состав Государственной противопожарной службы (ГПС) МВД России выполняет работы по тушению пожаров и связанные с ними первоочередные аварийно-спасательные работы (АСР) под руководством начальника штаба АСР из числа ответственных должностных лиц железной дороги. При этом учитываются требования Соглашения между МВД и МПС Российской Федерации о порядке осуществления государственного пожарного надзора и других полномочий Государственной противопожарной службы МВД России на объектах Министерства путей сообщения Российской Федерации (1994 </w:t>
      </w:r>
      <w:r w:rsidRPr="00776526">
        <w:rPr>
          <w:rFonts w:ascii="Times New Roman" w:hAnsi="Times New Roman"/>
          <w:sz w:val="28"/>
          <w:szCs w:val="28"/>
        </w:rPr>
        <w:lastRenderedPageBreak/>
        <w:t>г.). Все распоряжения начальника штаба АСР фиксируются в оперативном журнале штаба АСР. Форма журнала дана в Приложении 1.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Каждый работник железнодорожного транспорта при обнаружении пожара в тоннеле обязан сообщить об этом с указанием точного места дежурному поездному диспетчеру, в центр управления силами и средствами (ЦУСС) гарнизона ГПС, а также принять меры к ликвидации очага пожара имеющимися на объекте средствами пожаротушения и к остановке подвижного состава перед тоннелем.</w:t>
      </w:r>
    </w:p>
    <w:p w:rsidR="00257C73" w:rsidRPr="00776526" w:rsidRDefault="00776526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57C73" w:rsidRPr="00776526">
        <w:rPr>
          <w:rFonts w:ascii="Times New Roman" w:hAnsi="Times New Roman"/>
          <w:sz w:val="28"/>
          <w:szCs w:val="28"/>
        </w:rPr>
        <w:t xml:space="preserve"> случае обнаружения пожара при следовании поезда в тоннеле ответственные лица поездной бригады должны принять все меры к выводу поезда из тоннеля и действовать согласно требованиям п. 1.4 инструкции [1].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 пожаре в пассажирском поезде необходимо срочно эвакуировать людей из опасной зоны в соседние вагоны и приступить к тушению пожара первичными средствами пожаротушения.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 вынужденной остановке пассажирского поезда в тоннеле начальники поездов, проводники вагонов обязаны: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сообщить через машинистов о пожаре дежурному поездному диспетчеру с указанием точного места и количества людей в поезде;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организовать эвакуацию пассажиров из опасной зоны;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приступить к тушению пожара первичными средствами пожаротушения, задействовать (если имеется) противопожарный водопровод тоннеля.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 вынужденной остановке грузового поезда в тоннеле локомотивная бригада обязана: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сообщить о пожаре поездному диспетчеру с указанием точного места и вида грузов в горящем и смежных вагонах;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произвести расцепку поезда и отвод вагонов на безопасное расстояние;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приступить к тушению пожара первичными средствами пожаротушения, задействовать (если имеется) внутренний противопожарный водопровод тоннеля.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Поездной диспетчер в случае пожара обязан сообщить об этом в пожарную охрану МПС, ЦУСС гарнизона ГПС, ответственным должностным лицам железной дороги, в органы внутренних дел на ж.-д. транспорте, организовать движение поездов в соответствии с конкретной обстановкой, задействовать комиссию по чрезвычайным ситуациям железной дороги и направить к месту пожара при необходимости восстановительные подразделения МПС.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Дежурный обслуживающий персонал тоннеля обязан в случае пожара в тоннеле: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включить аварийный режим тоннельной вентиляции (при ее наличии);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подготовить к использованию противопожарное водоснабжение и средства пожаротушения опорного пункта тоннельного сооружения;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определить безопасные пути эвакуации пассажиров из опасной зоны;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приступить к тушению пожара имеющимися средствами;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провести предварительную оценку обстановки вблизи портала тоннеля;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не пропускать в тоннель лица, не участвующие в тушении пожара.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По прибытии подразделений пожарной охраны лицо, ответственное за руководство тушением пожара и проведение эвакуационно-спасательных </w:t>
      </w:r>
      <w:r w:rsidRPr="00776526">
        <w:rPr>
          <w:rFonts w:ascii="Times New Roman" w:hAnsi="Times New Roman"/>
          <w:sz w:val="28"/>
          <w:szCs w:val="28"/>
        </w:rPr>
        <w:lastRenderedPageBreak/>
        <w:t>работ, обязано сообщить старшему начальнику пожарной охраны, принявшему на себя руководство тушением, все необходимые сведения об обстановке на месте пожара.</w:t>
      </w:r>
    </w:p>
    <w:p w:rsidR="00257C73" w:rsidRPr="00776526" w:rsidRDefault="00257C73" w:rsidP="00776526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Допуск личного состава пожарных подразделений для тушения пожаров на подвижном составе в тоннельных сооружениях, находящихся под напряжением, производится только после получения руководителем тушения пожара письменного или по радиосвязи разрешения электромонтера района контактной сети с указанием в нем номера приказа энергодиспетчера и времени снятия напряжения (прил. 2).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Тушение без снятия напряжения допускается только в случае, когда пожар возник внутри вагона и его в начальной стадии можно локализовать и ликвидировать с помощью первичных средств силами поездной бригады.</w:t>
      </w:r>
    </w:p>
    <w:p w:rsidR="00257C73" w:rsidRPr="00776526" w:rsidRDefault="00257C73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 w:rsidP="00776526">
      <w:pPr>
        <w:pStyle w:val="Heading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ХАРАКТЕРИСТИКА И ПОЖАРНАЯ ОПАСНОСТЬ ОБЪЕКТА </w:t>
      </w:r>
    </w:p>
    <w:p w:rsidR="00257C73" w:rsidRPr="00776526" w:rsidRDefault="00257C73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 w:rsidP="00776526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Лица, ответственные за организацию АСР, тушение пожара, проведение эвакуационно-спасательных работ, обязаны учитывать изложенные ниже особенности объекта.</w:t>
      </w:r>
    </w:p>
    <w:p w:rsidR="00257C73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Железнодорожный тоннель представляет собой протяженную подземную выработку, которая характеризуется следующими геометрическими размерами поперечного сечения.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Для однопутного тоннеля: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высота тоннеля от уровня путевого балласта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6,9-6,2 м;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ширина тоннеля на уровне рабочей зоны (1,5 м)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5,3-6,2 м;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расстояние между боковой стенкой тоннеля и поездом на уровне рабочей зоны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1,1-1,5 м.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Для двухпутного тоннеля: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высота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7,9 м;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ширина на уровне рабочей зоны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9,8 м;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минимальное расстояние между боковой стенкой тоннеля и поездом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1,1 м.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Максимальные уклоны тоннелей зависят от длины и категории железнодорожной линии, их величины приведены в табл. 1.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Профиль тоннеля может иметь горизонтальные участки длиной до 400 м.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 w:rsidP="00776526">
      <w:pPr>
        <w:jc w:val="right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Таблица 1 </w:t>
      </w:r>
    </w:p>
    <w:p w:rsidR="00257C73" w:rsidRPr="00776526" w:rsidRDefault="00257C73" w:rsidP="00776526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Максимальные уклоны тоннелей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68"/>
        <w:gridCol w:w="1913"/>
        <w:gridCol w:w="1914"/>
        <w:gridCol w:w="1914"/>
        <w:gridCol w:w="1914"/>
      </w:tblGrid>
      <w:tr w:rsidR="00776526" w:rsidRPr="00776526" w:rsidTr="0077652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vMerge w:val="restart"/>
            <w:vAlign w:val="center"/>
          </w:tcPr>
          <w:p w:rsidR="00776526" w:rsidRPr="00776526" w:rsidRDefault="00776526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Категория железной дороги</w:t>
            </w:r>
          </w:p>
        </w:tc>
        <w:tc>
          <w:tcPr>
            <w:tcW w:w="7655" w:type="dxa"/>
            <w:gridSpan w:val="4"/>
            <w:vAlign w:val="center"/>
          </w:tcPr>
          <w:p w:rsidR="00776526" w:rsidRPr="00776526" w:rsidRDefault="00776526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Уклон тоннеля и его длина, м</w:t>
            </w:r>
          </w:p>
        </w:tc>
      </w:tr>
      <w:tr w:rsidR="00776526" w:rsidRPr="00776526" w:rsidTr="0077652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vMerge/>
            <w:vAlign w:val="center"/>
          </w:tcPr>
          <w:p w:rsidR="00776526" w:rsidRPr="00776526" w:rsidRDefault="00776526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776526" w:rsidRPr="00776526" w:rsidRDefault="00776526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до 300 м</w:t>
            </w:r>
          </w:p>
        </w:tc>
        <w:tc>
          <w:tcPr>
            <w:tcW w:w="1914" w:type="dxa"/>
            <w:vAlign w:val="center"/>
          </w:tcPr>
          <w:p w:rsidR="00776526" w:rsidRPr="00776526" w:rsidRDefault="00776526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до 1000 м</w:t>
            </w:r>
          </w:p>
        </w:tc>
        <w:tc>
          <w:tcPr>
            <w:tcW w:w="1914" w:type="dxa"/>
            <w:vAlign w:val="center"/>
          </w:tcPr>
          <w:p w:rsidR="00776526" w:rsidRPr="00776526" w:rsidRDefault="00776526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до 3000 м</w:t>
            </w:r>
          </w:p>
        </w:tc>
        <w:tc>
          <w:tcPr>
            <w:tcW w:w="1914" w:type="dxa"/>
            <w:vAlign w:val="center"/>
          </w:tcPr>
          <w:p w:rsidR="00776526" w:rsidRPr="00776526" w:rsidRDefault="00776526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св. 3000 м</w:t>
            </w:r>
          </w:p>
        </w:tc>
      </w:tr>
      <w:tr w:rsidR="00257C73" w:rsidRPr="00776526" w:rsidTr="0077652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I и II</w:t>
            </w:r>
          </w:p>
        </w:tc>
        <w:tc>
          <w:tcPr>
            <w:tcW w:w="1913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0,015</w:t>
            </w:r>
          </w:p>
        </w:tc>
        <w:tc>
          <w:tcPr>
            <w:tcW w:w="1914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0,014</w:t>
            </w:r>
          </w:p>
        </w:tc>
        <w:tc>
          <w:tcPr>
            <w:tcW w:w="1914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0,013</w:t>
            </w:r>
          </w:p>
        </w:tc>
        <w:tc>
          <w:tcPr>
            <w:tcW w:w="1914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0,012</w:t>
            </w:r>
          </w:p>
        </w:tc>
      </w:tr>
      <w:tr w:rsidR="00257C73" w:rsidRPr="00776526" w:rsidTr="0077652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1913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0,020</w:t>
            </w:r>
          </w:p>
        </w:tc>
        <w:tc>
          <w:tcPr>
            <w:tcW w:w="1914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0,013</w:t>
            </w:r>
          </w:p>
        </w:tc>
        <w:tc>
          <w:tcPr>
            <w:tcW w:w="1914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0,017</w:t>
            </w:r>
          </w:p>
        </w:tc>
        <w:tc>
          <w:tcPr>
            <w:tcW w:w="1914" w:type="dxa"/>
            <w:vAlign w:val="center"/>
          </w:tcPr>
          <w:p w:rsidR="00257C73" w:rsidRPr="00776526" w:rsidRDefault="00257C73" w:rsidP="00776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526">
              <w:rPr>
                <w:rFonts w:ascii="Times New Roman" w:hAnsi="Times New Roman"/>
                <w:sz w:val="28"/>
                <w:szCs w:val="28"/>
              </w:rPr>
              <w:t>0,016</w:t>
            </w:r>
          </w:p>
        </w:tc>
      </w:tr>
    </w:tbl>
    <w:p w:rsidR="00776526" w:rsidRDefault="00776526" w:rsidP="00776526">
      <w:pPr>
        <w:jc w:val="both"/>
        <w:rPr>
          <w:rFonts w:ascii="Times New Roman" w:hAnsi="Times New Roman"/>
          <w:sz w:val="28"/>
          <w:szCs w:val="28"/>
        </w:rPr>
      </w:pP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Ограждающие конструкции тоннелей по пределу огнестойкости не нормированы. Разрушение тоннельной обделки может произойти в начале развитой стадии пожара.</w:t>
      </w:r>
    </w:p>
    <w:p w:rsidR="00257C73" w:rsidRPr="00776526" w:rsidRDefault="00257C73" w:rsidP="007765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lastRenderedPageBreak/>
        <w:t>Потеря несущей способности с обрушением свода тоннеля возможна через 4-10 ч после начала пожара.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В тоннелях через каждые 150 м в шахматном порядке расположены камеры, которые предназначены для хранения ремонтного и противопожарного оборудования. Между ними через 30 м расположены в шахматном порядке ниши, служащие для укрытия людей. Ширина и высота ниш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2 м, глубина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1 м.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Для тоннелей длиной менее 300 м не предусматривается оснащение средствами противопожарной защиты. Противопожарный водопровод и параллельные штольни сооружаются лишь в тоннелях большой протяженности.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В тоннелях протяженностью свыше 1000 м предусматривают соединительные сбойки между параллельными однопутными тоннелями, располагаемые через 500-700 м, систему вентиляции с механическим побуждением, а подпор воздуха в параллельную штольню при пожаре </w:t>
      </w:r>
      <w:r w:rsidR="00776526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лишь для уникальных тоннелей большой протяженности.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В тоннелях длиной более 300 м на прямой и 150 м на кривой устраивается искусственное освещение.</w:t>
      </w:r>
    </w:p>
    <w:p w:rsidR="00257C73" w:rsidRPr="00776526" w:rsidRDefault="00257C73" w:rsidP="00776526">
      <w:pPr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Для выполнения ремонтных работ предусматривается местное переносное освещение, подключение которого осуществляется через штепсельные розетки, располагаемые у камер и ниш.</w:t>
      </w:r>
    </w:p>
    <w:p w:rsidR="00257C73" w:rsidRPr="00776526" w:rsidRDefault="00257C73" w:rsidP="00776526">
      <w:pPr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Для подключения ремонтных механизмов к электрической сети через каждые 120-150 м установлены распределительные щиты с напряжением 380/220 В.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Охраняемые тоннели имеют прямую двухпроводную телефонную связь с ближайшими раздельными пунктами по обе стороны тоннеля. Аппараты управления у обоих порталов и в каждой камере находятся по одной стороне тоннеля.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Тоннели длиной 300 м и более на прямых и независимо от длины на кривых участках пути оборудованы автоматической оповестительной и заградительной сигнализацией.</w:t>
      </w:r>
    </w:p>
    <w:p w:rsidR="00257C73" w:rsidRPr="00776526" w:rsidRDefault="00257C73" w:rsidP="00776526">
      <w:pPr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У порталов тоннеля площадки для размещения пожарной и другой техники не предусмотрены, что затрудняет использование технических средств</w:t>
      </w:r>
      <w:r w:rsidR="007B2477">
        <w:rPr>
          <w:rFonts w:ascii="Times New Roman" w:hAnsi="Times New Roman"/>
          <w:sz w:val="28"/>
          <w:szCs w:val="28"/>
        </w:rPr>
        <w:t xml:space="preserve"> </w:t>
      </w:r>
      <w:r w:rsidRPr="00776526">
        <w:rPr>
          <w:rFonts w:ascii="Times New Roman" w:hAnsi="Times New Roman"/>
          <w:sz w:val="28"/>
          <w:szCs w:val="28"/>
        </w:rPr>
        <w:t>противопожарной и аварийно-спасательных служб региона.</w:t>
      </w:r>
    </w:p>
    <w:p w:rsidR="00257C73" w:rsidRPr="00776526" w:rsidRDefault="00257C73" w:rsidP="00776526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 проведении эвакуационно-спасательных работ и тушении пожара лица, участвующие в этих работах, обязаны учитывать приведенные ниже особенности развития пожара и условия, затрудняющие проведение работ.</w:t>
      </w:r>
    </w:p>
    <w:p w:rsidR="007B2477" w:rsidRDefault="00257C73" w:rsidP="007B2477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При пожаре остановленного в тоннеле пассажирского поезда критические значения опасных факторов пожара вблизи очага возникают через 4-6 мин в однопутных тоннелях и через 6-8 мин </w:t>
      </w:r>
      <w:r w:rsidR="007B2477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в двухпутных.</w:t>
      </w:r>
    </w:p>
    <w:p w:rsidR="00257C73" w:rsidRPr="007B2477" w:rsidRDefault="00257C73" w:rsidP="007B2477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2477">
        <w:rPr>
          <w:rFonts w:ascii="Times New Roman" w:hAnsi="Times New Roman"/>
          <w:sz w:val="28"/>
          <w:szCs w:val="28"/>
        </w:rPr>
        <w:t>Параметры развития пожара в тоннеле определяются условиями его вентиляции, свойствами горючих материалов перевозимых грузов и подвижного состава, а также расположением очага пожара (у портала или в средней части тоннеля).</w:t>
      </w:r>
    </w:p>
    <w:p w:rsidR="00257C73" w:rsidRPr="00776526" w:rsidRDefault="00257C73" w:rsidP="007B24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После возникновения очага горения пожар распространяется преимущественно в направлении вентиляционного потока со скоростью, близкой к скорости распространения горения на открытом участке. Увеличение площади пожара происходит до размеров, ограничиваемых воздухообменом. На </w:t>
      </w:r>
      <w:r w:rsidRPr="00776526">
        <w:rPr>
          <w:rFonts w:ascii="Times New Roman" w:hAnsi="Times New Roman"/>
          <w:sz w:val="28"/>
          <w:szCs w:val="28"/>
        </w:rPr>
        <w:lastRenderedPageBreak/>
        <w:t>наклонных участках тоннеля, заполненных продуктами горения, возникает тепловая депрессия (тяга) пожара, способная изменить как количество, так и направление движения воздуха в тоннеле.</w:t>
      </w:r>
    </w:p>
    <w:p w:rsidR="007B2477" w:rsidRDefault="00257C73" w:rsidP="007B2477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 пожаре твердых горючих материалов площадь пожара после его стабилизации может составить 130-830 м</w:t>
      </w:r>
      <w:r w:rsidR="007B2477" w:rsidRPr="007B2477">
        <w:rPr>
          <w:rFonts w:ascii="Times New Roman" w:hAnsi="Times New Roman"/>
          <w:sz w:val="28"/>
          <w:szCs w:val="28"/>
          <w:vertAlign w:val="superscript"/>
        </w:rPr>
        <w:t>2</w:t>
      </w:r>
      <w:r w:rsidRPr="00776526">
        <w:rPr>
          <w:rFonts w:ascii="Times New Roman" w:hAnsi="Times New Roman"/>
          <w:sz w:val="28"/>
          <w:szCs w:val="28"/>
        </w:rPr>
        <w:t xml:space="preserve"> для однопутных тоннелей и 500-1300 м</w:t>
      </w:r>
      <w:r w:rsidR="007B2477" w:rsidRPr="007B2477">
        <w:rPr>
          <w:rFonts w:ascii="Times New Roman" w:hAnsi="Times New Roman"/>
          <w:sz w:val="28"/>
          <w:szCs w:val="28"/>
          <w:vertAlign w:val="superscript"/>
        </w:rPr>
        <w:t>2</w:t>
      </w:r>
      <w:r w:rsidRPr="00776526">
        <w:rPr>
          <w:rFonts w:ascii="Times New Roman" w:hAnsi="Times New Roman"/>
          <w:sz w:val="28"/>
          <w:szCs w:val="28"/>
        </w:rPr>
        <w:t xml:space="preserve"> для двухпутных, распространение зоны горения происходит по мере выгорания пожарной нагрузки со скоростью от 3,5 до 80 м·ч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526">
        <w:rPr>
          <w:rFonts w:ascii="Times New Roman" w:hAnsi="Times New Roman"/>
          <w:sz w:val="28"/>
          <w:szCs w:val="28"/>
        </w:rPr>
        <w:t>. Время развития пожаров до указанных размеров составляет от 30 до 300 мин.</w:t>
      </w:r>
    </w:p>
    <w:p w:rsidR="00257C73" w:rsidRPr="007B2477" w:rsidRDefault="00257C73" w:rsidP="007B2477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2477">
        <w:rPr>
          <w:rFonts w:ascii="Times New Roman" w:hAnsi="Times New Roman"/>
          <w:sz w:val="28"/>
          <w:szCs w:val="28"/>
        </w:rPr>
        <w:t>Среднеобъемные температуры в зоне горения могут достигать:</w:t>
      </w:r>
    </w:p>
    <w:p w:rsidR="00257C73" w:rsidRPr="00776526" w:rsidRDefault="00257C73" w:rsidP="007B24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для твердых горючих материалов </w:t>
      </w:r>
      <w:r w:rsidR="007B2477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830 °С;</w:t>
      </w:r>
    </w:p>
    <w:p w:rsidR="00257C73" w:rsidRPr="00776526" w:rsidRDefault="00257C73" w:rsidP="007B24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для горючих жидкостей </w:t>
      </w:r>
      <w:r w:rsidR="007B2477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1050 °С;</w:t>
      </w:r>
    </w:p>
    <w:p w:rsidR="00257C73" w:rsidRPr="00776526" w:rsidRDefault="00257C73" w:rsidP="007B24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для сжиженных газов </w:t>
      </w:r>
      <w:r w:rsidR="007B2477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1150 °С.</w:t>
      </w:r>
    </w:p>
    <w:p w:rsidR="00257C73" w:rsidRPr="00776526" w:rsidRDefault="00257C73" w:rsidP="007B24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Расчетная продолжительность пожара (без тушения) для поезда с грузом твердых горючих материалов составляет:</w:t>
      </w:r>
    </w:p>
    <w:p w:rsidR="00257C73" w:rsidRPr="00776526" w:rsidRDefault="00257C73" w:rsidP="007B24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в однопутном тоннеле </w:t>
      </w:r>
      <w:r w:rsidR="007B2477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130-170 ч;</w:t>
      </w:r>
    </w:p>
    <w:p w:rsidR="00257C73" w:rsidRPr="00776526" w:rsidRDefault="00257C73" w:rsidP="007B24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 xml:space="preserve">в двухпутном тоннеле </w:t>
      </w:r>
      <w:r w:rsidR="007B2477">
        <w:rPr>
          <w:rFonts w:ascii="Times New Roman" w:hAnsi="Times New Roman"/>
          <w:sz w:val="28"/>
          <w:szCs w:val="28"/>
        </w:rPr>
        <w:t>–</w:t>
      </w:r>
      <w:r w:rsidRPr="00776526">
        <w:rPr>
          <w:rFonts w:ascii="Times New Roman" w:hAnsi="Times New Roman"/>
          <w:sz w:val="28"/>
          <w:szCs w:val="28"/>
        </w:rPr>
        <w:t xml:space="preserve"> 55-70 ч.</w:t>
      </w:r>
    </w:p>
    <w:p w:rsidR="00257C73" w:rsidRPr="00776526" w:rsidRDefault="00257C73" w:rsidP="007B2477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При развитом пожаре в тоннеле его обстановка характеризуется наличием:</w:t>
      </w:r>
    </w:p>
    <w:p w:rsidR="00257C73" w:rsidRPr="0077652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зоны горения, площадь которой определяется количеством поступающего в тоннель воздуха;</w:t>
      </w:r>
    </w:p>
    <w:p w:rsidR="00257C73" w:rsidRPr="0077652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зоны за очагом пожара (по направлению движения продуктов горения), температуры в которой выше температуры воспламенения материалов пожарной нагрузки. При поступлении воздуха в эту зону происходит возгорание находящихся в ней материалов;</w:t>
      </w:r>
    </w:p>
    <w:p w:rsidR="00257C73" w:rsidRPr="0077652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зоны теплового воздействия за очагом пожара с температурой выше критической (&gt; 70 °С);</w:t>
      </w:r>
    </w:p>
    <w:p w:rsidR="00257C73" w:rsidRPr="0077652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зоны действия конвективных потоков, распространяющихся от очага пожара навстречу вентиляционному потоку. Температура в этой зоне также выше критической;</w:t>
      </w:r>
    </w:p>
    <w:p w:rsidR="00257C73" w:rsidRPr="0077652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зоны задымления, включающей в себя указанные выше зоны и участок тоннеля до выхода продуктов горения в атмосферу.</w:t>
      </w:r>
    </w:p>
    <w:p w:rsidR="00257C73" w:rsidRPr="0077652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6526">
        <w:rPr>
          <w:rFonts w:ascii="Times New Roman" w:hAnsi="Times New Roman"/>
          <w:sz w:val="28"/>
          <w:szCs w:val="28"/>
        </w:rPr>
        <w:t>Длина зоны теплового воздействия за очагом пожара составляет не менее 330 м для однопутного тоннеля и не менее 650 м для двухпутного тоннеля. Протяженность зоны действия конвективных потоков продуктов горения составляет 50-85 м. Схема обстановки развитого пожара приведена на рис 1.</w:t>
      </w:r>
    </w:p>
    <w:p w:rsidR="00257C73" w:rsidRDefault="00257C73">
      <w:pPr>
        <w:jc w:val="center"/>
        <w:rPr>
          <w:rFonts w:ascii="Times New Roman" w:hAnsi="Times New Roman"/>
          <w:sz w:val="20"/>
        </w:rPr>
        <w:sectPr w:rsidR="00257C73" w:rsidSect="00776526">
          <w:pgSz w:w="11906" w:h="16838" w:code="9"/>
          <w:pgMar w:top="851" w:right="567" w:bottom="851" w:left="1418" w:header="720" w:footer="720" w:gutter="0"/>
          <w:cols w:space="720"/>
        </w:sectPr>
      </w:pPr>
    </w:p>
    <w:p w:rsidR="00257C73" w:rsidRDefault="00257C73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10500" w:dyaOrig="6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324.75pt" o:ole="">
            <v:imagedata r:id="rId7" o:title=""/>
          </v:shape>
          <o:OLEObject Type="Embed" ProgID="MSPhotoEd.3" ShapeID="_x0000_i1025" DrawAspect="Content" ObjectID="_1546582411" r:id="rId8"/>
        </w:object>
      </w:r>
    </w:p>
    <w:p w:rsidR="00257C73" w:rsidRPr="00DC7816" w:rsidRDefault="00257C73">
      <w:pPr>
        <w:jc w:val="center"/>
        <w:rPr>
          <w:rFonts w:ascii="Times New Roman" w:hAnsi="Times New Roman"/>
          <w:sz w:val="28"/>
        </w:rPr>
      </w:pPr>
      <w:r w:rsidRPr="00DC7816">
        <w:rPr>
          <w:rFonts w:ascii="Times New Roman" w:hAnsi="Times New Roman"/>
          <w:sz w:val="28"/>
        </w:rPr>
        <w:t>Рис. 1. Схема обстановки при развитом пожаре подвижного состава в тоннеле:</w:t>
      </w:r>
    </w:p>
    <w:p w:rsidR="00257C73" w:rsidRDefault="00257C73">
      <w:pPr>
        <w:jc w:val="center"/>
        <w:rPr>
          <w:rFonts w:ascii="Times New Roman" w:hAnsi="Times New Roman"/>
          <w:sz w:val="20"/>
        </w:rPr>
      </w:pPr>
      <w:r w:rsidRPr="00DC7816">
        <w:rPr>
          <w:rFonts w:ascii="Times New Roman" w:hAnsi="Times New Roman"/>
          <w:sz w:val="28"/>
        </w:rPr>
        <w:t xml:space="preserve">1 </w:t>
      </w:r>
      <w:r w:rsidR="00DC7816">
        <w:rPr>
          <w:rFonts w:ascii="Times New Roman" w:hAnsi="Times New Roman"/>
          <w:sz w:val="28"/>
        </w:rPr>
        <w:t>–</w:t>
      </w:r>
      <w:r w:rsidRPr="00DC7816">
        <w:rPr>
          <w:rFonts w:ascii="Times New Roman" w:hAnsi="Times New Roman"/>
          <w:sz w:val="28"/>
        </w:rPr>
        <w:t xml:space="preserve"> распределение температур в тоннеле; 2 </w:t>
      </w:r>
      <w:r w:rsidR="00DC7816">
        <w:rPr>
          <w:rFonts w:ascii="Times New Roman" w:hAnsi="Times New Roman"/>
          <w:sz w:val="28"/>
        </w:rPr>
        <w:t>–</w:t>
      </w:r>
      <w:r w:rsidRPr="00DC7816">
        <w:rPr>
          <w:rFonts w:ascii="Times New Roman" w:hAnsi="Times New Roman"/>
          <w:sz w:val="28"/>
        </w:rPr>
        <w:t xml:space="preserve"> аварийный тоннель; 3 </w:t>
      </w:r>
      <w:r w:rsidR="00DC7816">
        <w:rPr>
          <w:rFonts w:ascii="Times New Roman" w:hAnsi="Times New Roman"/>
          <w:sz w:val="28"/>
        </w:rPr>
        <w:t>–</w:t>
      </w:r>
      <w:r w:rsidRPr="00DC7816">
        <w:rPr>
          <w:rFonts w:ascii="Times New Roman" w:hAnsi="Times New Roman"/>
          <w:sz w:val="28"/>
        </w:rPr>
        <w:t xml:space="preserve"> подвижной состав; </w:t>
      </w:r>
      <w:r w:rsidR="00935B12">
        <w:rPr>
          <w:rFonts w:ascii="Times New Roman" w:hAnsi="Times New Roman"/>
          <w:noProof/>
          <w:position w:val="-10"/>
          <w:sz w:val="28"/>
        </w:rPr>
        <w:drawing>
          <wp:inline distT="0" distB="0" distL="0" distR="0">
            <wp:extent cx="2571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816">
        <w:rPr>
          <w:rFonts w:ascii="Times New Roman" w:hAnsi="Times New Roman"/>
          <w:sz w:val="28"/>
        </w:rPr>
        <w:sym w:font="Symbol" w:char="F02D"/>
      </w:r>
      <w:r w:rsidRPr="00DC7816">
        <w:rPr>
          <w:rFonts w:ascii="Times New Roman" w:hAnsi="Times New Roman"/>
          <w:sz w:val="28"/>
        </w:rPr>
        <w:t xml:space="preserve"> длина зоны действия конвективных потоков; </w:t>
      </w:r>
      <w:r w:rsidR="00935B12">
        <w:rPr>
          <w:rFonts w:ascii="Times New Roman" w:hAnsi="Times New Roman"/>
          <w:noProof/>
          <w:position w:val="-10"/>
          <w:sz w:val="28"/>
        </w:rPr>
        <w:drawing>
          <wp:inline distT="0" distB="0" distL="0" distR="0">
            <wp:extent cx="18097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816">
        <w:rPr>
          <w:rFonts w:ascii="Times New Roman" w:hAnsi="Times New Roman"/>
          <w:sz w:val="28"/>
        </w:rPr>
        <w:t xml:space="preserve"> </w:t>
      </w:r>
      <w:r w:rsidR="00DC7816">
        <w:rPr>
          <w:rFonts w:ascii="Times New Roman" w:hAnsi="Times New Roman"/>
          <w:sz w:val="28"/>
        </w:rPr>
        <w:sym w:font="Symbol" w:char="F02D"/>
      </w:r>
      <w:r w:rsidRPr="00DC7816">
        <w:rPr>
          <w:rFonts w:ascii="Times New Roman" w:hAnsi="Times New Roman"/>
          <w:sz w:val="28"/>
        </w:rPr>
        <w:t xml:space="preserve"> длина зоны горения; </w:t>
      </w:r>
      <w:r w:rsidR="00935B12">
        <w:rPr>
          <w:rFonts w:ascii="Times New Roman" w:hAnsi="Times New Roman"/>
          <w:noProof/>
          <w:position w:val="-10"/>
          <w:sz w:val="28"/>
        </w:rPr>
        <w:drawing>
          <wp:inline distT="0" distB="0" distL="0" distR="0">
            <wp:extent cx="16192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816">
        <w:rPr>
          <w:rFonts w:ascii="Times New Roman" w:hAnsi="Times New Roman"/>
          <w:sz w:val="28"/>
        </w:rPr>
        <w:t xml:space="preserve"> </w:t>
      </w:r>
      <w:r w:rsidR="00DC7816">
        <w:rPr>
          <w:rFonts w:ascii="Times New Roman" w:hAnsi="Times New Roman"/>
          <w:sz w:val="28"/>
        </w:rPr>
        <w:sym w:font="Symbol" w:char="F02D"/>
      </w:r>
      <w:r w:rsidRPr="00DC7816">
        <w:rPr>
          <w:rFonts w:ascii="Times New Roman" w:hAnsi="Times New Roman"/>
          <w:sz w:val="28"/>
        </w:rPr>
        <w:t xml:space="preserve"> длина зоны с температурами выше температур воспламенения материалов пожарной нагрузки; </w:t>
      </w:r>
      <w:r w:rsidR="00935B12">
        <w:rPr>
          <w:rFonts w:ascii="Times New Roman" w:hAnsi="Times New Roman"/>
          <w:noProof/>
          <w:position w:val="-12"/>
          <w:sz w:val="28"/>
        </w:rPr>
        <w:drawing>
          <wp:inline distT="0" distB="0" distL="0" distR="0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816">
        <w:rPr>
          <w:rFonts w:ascii="Times New Roman" w:hAnsi="Times New Roman"/>
          <w:sz w:val="28"/>
        </w:rPr>
        <w:t xml:space="preserve"> </w:t>
      </w:r>
      <w:r w:rsidR="00DC7816">
        <w:rPr>
          <w:rFonts w:ascii="Times New Roman" w:hAnsi="Times New Roman"/>
          <w:sz w:val="28"/>
        </w:rPr>
        <w:sym w:font="Symbol" w:char="F02D"/>
      </w:r>
      <w:r w:rsidR="00776526" w:rsidRPr="00DC7816">
        <w:rPr>
          <w:rFonts w:ascii="Times New Roman" w:hAnsi="Times New Roman"/>
          <w:sz w:val="28"/>
        </w:rPr>
        <w:t xml:space="preserve"> </w:t>
      </w:r>
      <w:r w:rsidRPr="00DC7816">
        <w:rPr>
          <w:rFonts w:ascii="Times New Roman" w:hAnsi="Times New Roman"/>
          <w:sz w:val="28"/>
        </w:rPr>
        <w:t xml:space="preserve">длина зоны задымления; </w:t>
      </w:r>
      <w:r w:rsidR="00935B12">
        <w:rPr>
          <w:rFonts w:ascii="Times New Roman" w:hAnsi="Times New Roman"/>
          <w:noProof/>
          <w:position w:val="-10"/>
          <w:sz w:val="28"/>
        </w:rPr>
        <w:drawing>
          <wp:inline distT="0" distB="0" distL="0" distR="0">
            <wp:extent cx="219075" cy="219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816">
        <w:rPr>
          <w:rFonts w:ascii="Times New Roman" w:hAnsi="Times New Roman"/>
          <w:sz w:val="28"/>
        </w:rPr>
        <w:t xml:space="preserve"> </w:t>
      </w:r>
      <w:r w:rsidR="00DC7816">
        <w:rPr>
          <w:rFonts w:ascii="Times New Roman" w:hAnsi="Times New Roman"/>
          <w:sz w:val="28"/>
        </w:rPr>
        <w:sym w:font="Symbol" w:char="F02D"/>
      </w:r>
      <w:r w:rsidRPr="00DC7816">
        <w:rPr>
          <w:rFonts w:ascii="Times New Roman" w:hAnsi="Times New Roman"/>
          <w:sz w:val="28"/>
        </w:rPr>
        <w:t xml:space="preserve"> длина зоны теплового воздействия; </w:t>
      </w:r>
      <w:r w:rsidR="00935B12">
        <w:rPr>
          <w:rFonts w:ascii="Times New Roman" w:hAnsi="Times New Roman"/>
          <w:noProof/>
          <w:position w:val="-12"/>
          <w:sz w:val="28"/>
        </w:rPr>
        <w:drawing>
          <wp:inline distT="0" distB="0" distL="0" distR="0">
            <wp:extent cx="228600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816">
        <w:rPr>
          <w:rFonts w:ascii="Times New Roman" w:hAnsi="Times New Roman"/>
          <w:sz w:val="28"/>
        </w:rPr>
        <w:t xml:space="preserve"> </w:t>
      </w:r>
      <w:r w:rsidR="00DC7816">
        <w:rPr>
          <w:rFonts w:ascii="Times New Roman" w:hAnsi="Times New Roman"/>
          <w:sz w:val="28"/>
        </w:rPr>
        <w:sym w:font="Symbol" w:char="F02D"/>
      </w:r>
      <w:r w:rsidR="00776526" w:rsidRPr="00DC7816">
        <w:rPr>
          <w:rFonts w:ascii="Times New Roman" w:hAnsi="Times New Roman"/>
          <w:sz w:val="28"/>
        </w:rPr>
        <w:t xml:space="preserve"> </w:t>
      </w:r>
      <w:r w:rsidRPr="00DC7816">
        <w:rPr>
          <w:rFonts w:ascii="Times New Roman" w:hAnsi="Times New Roman"/>
          <w:sz w:val="28"/>
        </w:rPr>
        <w:t xml:space="preserve">линейная скорость распространения горения </w:t>
      </w:r>
    </w:p>
    <w:p w:rsidR="00257C73" w:rsidRDefault="00257C73">
      <w:pPr>
        <w:ind w:firstLine="225"/>
        <w:jc w:val="both"/>
        <w:rPr>
          <w:rFonts w:ascii="Times New Roman" w:hAnsi="Times New Roman"/>
          <w:sz w:val="20"/>
        </w:rPr>
        <w:sectPr w:rsidR="00257C73">
          <w:pgSz w:w="16840" w:h="11907" w:orient="landscape" w:code="9"/>
          <w:pgMar w:top="1134" w:right="1134" w:bottom="1134" w:left="1134" w:header="720" w:footer="720" w:gutter="0"/>
          <w:cols w:space="720"/>
        </w:sectPr>
      </w:pPr>
    </w:p>
    <w:p w:rsidR="00257C73" w:rsidRPr="00DC7816" w:rsidRDefault="00257C73" w:rsidP="00DC7816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lastRenderedPageBreak/>
        <w:t>При пожаре подвижного состава с грузом ЛВЖ и ГЖ происходит их растекание вниз по уклону тоннеля на расстояние до 80 и более метров. Площадь горения при этом ограничивается расходом поступающего в зону горения воздуха и достигает величины 60-200 м</w:t>
      </w:r>
      <w:r w:rsidR="00DC7816" w:rsidRPr="00DC7816">
        <w:rPr>
          <w:rFonts w:ascii="Times New Roman" w:hAnsi="Times New Roman"/>
          <w:sz w:val="28"/>
          <w:szCs w:val="28"/>
          <w:vertAlign w:val="superscript"/>
        </w:rPr>
        <w:t>2</w:t>
      </w:r>
      <w:r w:rsidRPr="00DC7816">
        <w:rPr>
          <w:rFonts w:ascii="Times New Roman" w:hAnsi="Times New Roman"/>
          <w:sz w:val="28"/>
          <w:szCs w:val="28"/>
        </w:rPr>
        <w:t>. Возможны также вспышки (взрывы) скоплений горючих газов и паров в объеме тоннеля.</w:t>
      </w:r>
    </w:p>
    <w:p w:rsidR="00257C73" w:rsidRPr="00DC7816" w:rsidRDefault="00257C73" w:rsidP="0031002B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Проведение эвакуационно-спасательных работ осложняется: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наличием угрозы людям, возможным возникновением паники и эвакуацией пассажирами принадлежащего им багажа;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неприспособленностью тоннеля для вынужденной эвакуации большого количества пассажиров и значительной протяженностью маршрута эвакуации;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возможным выходом из строя технических средств обеспечения эвакуации (аварийного освещения, вентиляции и др.).</w:t>
      </w:r>
    </w:p>
    <w:p w:rsidR="00257C73" w:rsidRPr="00DC7816" w:rsidRDefault="00257C73" w:rsidP="0031002B">
      <w:pPr>
        <w:numPr>
          <w:ilvl w:val="0"/>
          <w:numId w:val="5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Проведение работ по тушению осложняется: 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быстрым распространением огня внутри грузопассажирских вагонов; 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удаленностью очага пожара от открытого участка трассы;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ограниченностью пространства, задымлением и высокой температурой в зоне боевых действий подразделений;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трудностью доступа к месту проведения работ из-за возможных завалов внутри тоннеля;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привлечением большого количества и сложностью управления подразделениями в подземных сооружениях;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наличием оборудования и кабельных сетей, находящихся под напряжением.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31002B">
      <w:pPr>
        <w:pStyle w:val="Heading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ОСОБЕННОСТИ ОРГАНИЗАЦИИ ТУШЕНИЯ И СПАСАТЕЛЬНЫХ РАБОТ ПРИ ПОЖАРЕ В ЖЕЛЕЗНОДОРОЖНОМ ТОННЕЛЕ 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002B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Организация работ по тушению и спасанию определяется комплексом организационных мероприятий, связанных с подготовкой к боевым действиям личного состава подразделений МПС, МВД и других специальных служб региона до возникновения и при возникновении аварийных ситуаций на объектах.</w:t>
      </w:r>
    </w:p>
    <w:p w:rsidR="00257C73" w:rsidRPr="0031002B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t>До возникновения пожара службами МПС выполняются следующие организационные мероприятия: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разрабатывается порядок передачи информации об опасных свойствах грузов личному составу подразделений, привлекаемых для тушения пожара и проведения аварийно-спасательных работ;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создается аварийно-спасательная служба, оснащенная необходимой техникой и средствами связи. Этой службе определяются конкретные задачи;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по решению начальника службы военизированной охраны управления железной дороги разрабатывается план пожаротушения, а также план привлечения дополнительных сил и средств других ведомств. С органами ГПС согласовывается номер выезда подразделений ГПС на пожар в тоннеле;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по согласованию с привлекаемыми для тушения и проведения аварийно-спасательных работ ведомствами начальником железной дороги устанавливается периодичность проведения совместных учений, но не реже одного раза в год; 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lastRenderedPageBreak/>
        <w:t>определяется порядок контроля служебной деятельности пожарных и аварийно-спасательных подразделений МПС для выявления готовности подразделений к выполнению поставленных задач;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создаются площадки для размещения пожарной техники и пожарного поста у портала (порталов) охраняемого железнодорожного тоннеля и оснащения его резервным пожарно-техническим и аварийно-спасательным вооружением, огнетушащими средствами.</w:t>
      </w:r>
    </w:p>
    <w:p w:rsidR="00257C73" w:rsidRPr="00DC7816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Подразделениями пожарной охраны МПС разрабатывается схема привлечения сил и средств региона для ликвидации аварийных ситуаций. Пример такой схемы представлен на рис. 2.</w:t>
      </w:r>
    </w:p>
    <w:p w:rsidR="00257C73" w:rsidRPr="00DC7816" w:rsidRDefault="00257C73" w:rsidP="00DC781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object w:dxaOrig="9000" w:dyaOrig="10860">
          <v:shape id="_x0000_i1026" type="#_x0000_t75" style="width:415.5pt;height:501pt" o:ole="">
            <v:imagedata r:id="rId15" o:title=""/>
          </v:shape>
          <o:OLEObject Type="Embed" ProgID="MSPhotoEd.3" ShapeID="_x0000_i1026" DrawAspect="Content" ObjectID="_1546582412" r:id="rId16"/>
        </w:object>
      </w:r>
    </w:p>
    <w:p w:rsidR="00257C73" w:rsidRPr="00DC7816" w:rsidRDefault="00257C73" w:rsidP="00DC781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Рис. 2. Схема привлечения сил и средств региона при пожаре в железнодорожном тоннеле:</w:t>
      </w:r>
    </w:p>
    <w:p w:rsidR="00257C73" w:rsidRPr="00DC7816" w:rsidRDefault="00935B12" w:rsidP="00DC7816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4325" cy="1809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C73" w:rsidRPr="00DC7816">
        <w:rPr>
          <w:rFonts w:ascii="Times New Roman" w:hAnsi="Times New Roman"/>
          <w:sz w:val="28"/>
          <w:szCs w:val="28"/>
        </w:rPr>
        <w:t xml:space="preserve"> - передача информации;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3850" cy="152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C73" w:rsidRPr="00DC7816">
        <w:rPr>
          <w:rFonts w:ascii="Times New Roman" w:hAnsi="Times New Roman"/>
          <w:sz w:val="28"/>
          <w:szCs w:val="28"/>
        </w:rPr>
        <w:t xml:space="preserve"> - направление сил и средств</w:t>
      </w:r>
    </w:p>
    <w:p w:rsidR="00257C73" w:rsidRPr="00DC7816" w:rsidRDefault="00257C73" w:rsidP="00DC7816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lastRenderedPageBreak/>
        <w:t>При возникновении пожара организация работ по тушению и спасанию должна быть направлена на обеспечение своевременной эвакуации людей и грузов из опасной зоны.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Проведение данных работ необходимо выполнять с учетом положений документа [3]. Эвакуация должна быть направлена: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 сторону встречного вентиляционного потока;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вниз по уклону железнодорожного тоннеля;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к ближайшему выходу из тоннеля;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 параллельную штольню или параллельный тоннель через сбойки.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При эвакуации людей из пассажирского поезда ответственность за сохранность и эвакуацию личных вещей пассажиров возлагается на поездную бригаду.</w:t>
      </w:r>
    </w:p>
    <w:p w:rsidR="00257C73" w:rsidRPr="00DC7816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По прибытии подразделений МПС создается штаб аварийно-спасательных работ (АСР) для координации действий подразделений МПС, ГПС и других ведомств по ликвидации пожара и проведению эвакуационно-спасательных работ. Начальником штаба АСР является старший начальник отделения (управления) железной дороги. Типовая схема управления представлена на рис. 3.</w: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DC7816">
      <w:pPr>
        <w:ind w:firstLine="709"/>
        <w:jc w:val="center"/>
        <w:rPr>
          <w:rFonts w:ascii="Times New Roman" w:hAnsi="Times New Roman"/>
          <w:sz w:val="28"/>
          <w:szCs w:val="28"/>
        </w:rPr>
        <w:sectPr w:rsidR="00257C73" w:rsidRPr="00DC7816" w:rsidSect="00DC7816">
          <w:pgSz w:w="11906" w:h="16838" w:code="9"/>
          <w:pgMar w:top="851" w:right="567" w:bottom="851" w:left="1418" w:header="720" w:footer="720" w:gutter="0"/>
          <w:cols w:space="720"/>
        </w:sectPr>
      </w:pPr>
    </w:p>
    <w:p w:rsidR="00257C73" w:rsidRPr="00DC7816" w:rsidRDefault="00257C73" w:rsidP="00DC781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object w:dxaOrig="10500" w:dyaOrig="6195">
          <v:shape id="_x0000_i1027" type="#_x0000_t75" style="width:525pt;height:309.75pt" o:ole="">
            <v:imagedata r:id="rId19" o:title=""/>
          </v:shape>
          <o:OLEObject Type="Embed" ProgID="MSPhotoEd.3" ShapeID="_x0000_i1027" DrawAspect="Content" ObjectID="_1546582413" r:id="rId20"/>
        </w:object>
      </w:r>
    </w:p>
    <w:p w:rsidR="00257C73" w:rsidRPr="00DC7816" w:rsidRDefault="00257C73" w:rsidP="00DC78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DC781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Рис. 3. Схема управления подразделениями при пожаре в железнодорожном тоннеле:</w:t>
      </w:r>
    </w:p>
    <w:p w:rsidR="00257C73" w:rsidRPr="00DC7816" w:rsidRDefault="00257C73" w:rsidP="0031002B">
      <w:pPr>
        <w:ind w:firstLine="709"/>
        <w:jc w:val="center"/>
        <w:rPr>
          <w:rFonts w:ascii="Times New Roman" w:hAnsi="Times New Roman"/>
          <w:sz w:val="28"/>
          <w:szCs w:val="28"/>
        </w:rPr>
        <w:sectPr w:rsidR="00257C73" w:rsidRPr="00DC7816">
          <w:pgSz w:w="16840" w:h="11907" w:orient="landscape" w:code="9"/>
          <w:pgMar w:top="1134" w:right="1134" w:bottom="1134" w:left="1134" w:header="720" w:footer="720" w:gutter="0"/>
          <w:cols w:space="720"/>
        </w:sectPr>
      </w:pPr>
      <w:r w:rsidRPr="00DC7816">
        <w:rPr>
          <w:rFonts w:ascii="Times New Roman" w:hAnsi="Times New Roman"/>
          <w:sz w:val="28"/>
          <w:szCs w:val="28"/>
        </w:rPr>
        <w:t xml:space="preserve">АПК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аварийно-полевая команда; РТП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руководитель тушения пожара; НТ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начальник тыла;</w:t>
      </w:r>
      <w:r w:rsidR="0031002B">
        <w:rPr>
          <w:rFonts w:ascii="Times New Roman" w:hAnsi="Times New Roman"/>
          <w:sz w:val="28"/>
          <w:szCs w:val="28"/>
        </w:rPr>
        <w:br/>
      </w:r>
      <w:r w:rsidRPr="00DC7816">
        <w:rPr>
          <w:rFonts w:ascii="Times New Roman" w:hAnsi="Times New Roman"/>
          <w:sz w:val="28"/>
          <w:szCs w:val="28"/>
        </w:rPr>
        <w:t xml:space="preserve">КПП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контрольно-пропускной пункт; БУ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боевой участок; ГТОС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группа тыла, освещения и связи;</w:t>
      </w:r>
      <w:r w:rsidR="0031002B">
        <w:rPr>
          <w:rFonts w:ascii="Times New Roman" w:hAnsi="Times New Roman"/>
          <w:sz w:val="28"/>
          <w:szCs w:val="28"/>
        </w:rPr>
        <w:br/>
      </w:r>
      <w:r w:rsidRPr="00DC7816">
        <w:rPr>
          <w:rFonts w:ascii="Times New Roman" w:hAnsi="Times New Roman"/>
          <w:sz w:val="28"/>
          <w:szCs w:val="28"/>
        </w:rPr>
        <w:t xml:space="preserve">ВПГ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водоподающая группа; РСГ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разведывательно-спасательная группа; Н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наблюда</w:t>
      </w:r>
      <w:r w:rsidR="0031002B">
        <w:rPr>
          <w:rFonts w:ascii="Times New Roman" w:hAnsi="Times New Roman"/>
          <w:sz w:val="28"/>
          <w:szCs w:val="28"/>
        </w:rPr>
        <w:t>тель.</w:t>
      </w:r>
    </w:p>
    <w:p w:rsidR="00257C73" w:rsidRPr="00DC7816" w:rsidRDefault="00257C73" w:rsidP="0031002B">
      <w:pPr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lastRenderedPageBreak/>
        <w:t>В состав штаба АСР входят: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начальник штаба (руководитель по ликвидации аварийных ситуаций);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инженерно-технический персонал МПС;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руководитель тушения пожара (РТП);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начальники привлекаемых подразделений других ведомств.</w:t>
      </w:r>
    </w:p>
    <w:p w:rsidR="0031002B" w:rsidRDefault="00257C73" w:rsidP="0031002B">
      <w:pPr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Начальнику штаба АСР подчиняются все подразделения, привлекаемые для ликвидации аварийных ситуаций.</w:t>
      </w:r>
    </w:p>
    <w:p w:rsidR="00257C73" w:rsidRPr="0031002B" w:rsidRDefault="00257C73" w:rsidP="0031002B">
      <w:pPr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t>Подразделения ГПС МВД России подчиняются начальнику штаба АСР через своих начальников.</w:t>
      </w:r>
    </w:p>
    <w:p w:rsidR="00257C73" w:rsidRPr="00DC7816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Для проведения эвакуационно-спасательных работ формируются звенья из числа личного состава привлекаемых сил газодымозащитной службы (ГДЗС). Боевая работа звеньев ГДЗС регламентируется наставлением [4]. Объем их работ (задачи, цели, функции) определяется начальником штаба АСР по согласованию с РТП.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 тоннель направляются: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по решающему и вспомогательному направлениям - звенья для оказания помощи пассажирам, а со стороны решающего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звенья для подачи огнетушащих средств;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в параллельный тоннель, штольню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звенья для оказания помощи пассажирам, проникшим в этот тоннель (штольню).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Руководство работами со стороны вспомогательного направления осуществляет помощник начальника штаба АСР.</w:t>
      </w:r>
    </w:p>
    <w:p w:rsidR="00257C73" w:rsidRPr="00DC7816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 открытых участках перед входом в тоннель организуются вспомогательные работы (организация связи, разгрузка прибывшей техники, организация отдыха и питания личного состава и т. д.).</w:t>
      </w:r>
    </w:p>
    <w:p w:rsidR="0031002B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Группа тыла, освещения и связи организует связь на месте ликвидации аварии с максимальным использованием как стационарных, так и средств связи прибывших подразделений.</w:t>
      </w:r>
    </w:p>
    <w:p w:rsidR="0031002B" w:rsidRDefault="00257C73" w:rsidP="0031002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t>На основании информации, поступающей в штаб АСР о наличии в тоннеле людей, грузов и развитии пожара, начальник штаба АСР делает прогноз развития ситуации в тоннеле.</w:t>
      </w:r>
    </w:p>
    <w:p w:rsidR="0031002B" w:rsidRDefault="00257C73" w:rsidP="0031002B">
      <w:pPr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t>Инструктаж и допуск подразделений в тоннельное сооружение осуществляет начальник штаба АСР.</w:t>
      </w:r>
    </w:p>
    <w:p w:rsidR="00257C73" w:rsidRPr="0031002B" w:rsidRDefault="00257C73" w:rsidP="0031002B">
      <w:pPr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t>Штаб АСР должен выставить наблюдателей у выходов вентиляционных шахт на поверхность для оценки зоны задымления в тоннеле.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31002B">
      <w:pPr>
        <w:pStyle w:val="Heading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ТУШЕНИЕ ПОЖАРА В ТОННЕЛЕ 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31002B">
      <w:pPr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Руководство тушением пожара и проведением связанных с ними первоочередных аварийно-спасательных работ до прибытия подразделений ГПС МВД России осуществляют должностные лица МПС или начальствующий состав пожарных подразделений военизированной охраны МПС, которые должны принять все меры к ликвидации пожара, а при невозможности его тушения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к ограничению распространения горения путем расцепки поезда и отвода негорящих вагонов на безопасное расстояние.</w:t>
      </w:r>
    </w:p>
    <w:p w:rsidR="00257C73" w:rsidRPr="00DC7816" w:rsidRDefault="00257C73" w:rsidP="0031002B">
      <w:pPr>
        <w:numPr>
          <w:ilvl w:val="2"/>
          <w:numId w:val="9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lastRenderedPageBreak/>
        <w:t>По прибытии первых подразделений пожарной охраны РТП действует согласно Боевому уставу [5].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РТП обязан: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получить у должностного лица МПС (поездного диспетчера) информацию о точном месте остановки аварийного состава, характере груза в горящем и смежных вагонах, количестве людей, находящихся в тоннеле, профиле пути;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проконтролировать введение аварийного вентиляционного режима;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потребовать перед началом ведения работ в тоннеле подтверждения (согласно п. 1.11 настоящих Рекомендаций) о снятии напряжения;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провести разведку с целью сбора сведений о пожаре;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принять решение по организации боевых действий.</w:t>
      </w:r>
    </w:p>
    <w:p w:rsidR="00257C73" w:rsidRPr="00DC7816" w:rsidRDefault="00257C73" w:rsidP="0031002B">
      <w:pPr>
        <w:numPr>
          <w:ilvl w:val="2"/>
          <w:numId w:val="9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Разведка обязана установить: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наличие угрозы людям, их местонахождение и количество, пути спасания;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возможность вывода, расцепки подвижного состава;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вид груза в горящем и смежных вагонах, цистернах, место и размер пожара, пути распространения;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ближайшие водоисточники и способы их использования;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направление движения продуктов горения, границы зоны задымления;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наличие электросетей и оборудования, находящихся под напряжением.</w:t>
      </w:r>
    </w:p>
    <w:p w:rsidR="00257C73" w:rsidRPr="00DC7816" w:rsidRDefault="00257C73" w:rsidP="0031002B">
      <w:pPr>
        <w:numPr>
          <w:ilvl w:val="2"/>
          <w:numId w:val="9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Проникновение к зоне горения осуществляется со стороны: 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свежего вентиляционного потока;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параллельного тоннеля или штольни через сбойки.</w:t>
      </w:r>
    </w:p>
    <w:p w:rsidR="00257C73" w:rsidRPr="00DC7816" w:rsidRDefault="00257C73" w:rsidP="0031002B">
      <w:pPr>
        <w:numPr>
          <w:ilvl w:val="2"/>
          <w:numId w:val="9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Прокладку рукавных линий следует осуществлять, как правило, под рельсами и вдоль путей. При прокладке магистральных линий и доставке пожарно-технического вооружения к зоне горения следует использовать съемные подвижные единицы, которые должны находиться на пожарном посту.</w:t>
      </w:r>
    </w:p>
    <w:p w:rsidR="00257C73" w:rsidRPr="00DC7816" w:rsidRDefault="00257C73" w:rsidP="0031002B">
      <w:pPr>
        <w:numPr>
          <w:ilvl w:val="2"/>
          <w:numId w:val="9"/>
        </w:numPr>
        <w:tabs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Проникновение к зоне горения развитого пожара возможно под защитой водяных распыленных струй. При этом личный состав должен использовать теплозащитные костюмы.</w:t>
      </w:r>
    </w:p>
    <w:p w:rsidR="00257C73" w:rsidRPr="00DC7816" w:rsidRDefault="00257C73" w:rsidP="0031002B">
      <w:pPr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При пожаре подвижного состава, оставленного в средней части тоннеля, решающее направление боевых действий следует выбирать со стороны свежего вентиляционного потока, для невентилируемых тоннелей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со стороны портала с нижней высотной отметкой, а при пожаре подвижного состава вблизи портала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со стороны этого портала.</w:t>
      </w:r>
    </w:p>
    <w:p w:rsidR="00257C73" w:rsidRPr="00DC7816" w:rsidRDefault="00257C73" w:rsidP="0031002B">
      <w:pPr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Средства и способы тушения следует выбирать исходя из назначения подвижного состава, характеристик перевозимых грузов.</w:t>
      </w:r>
    </w:p>
    <w:p w:rsidR="0031002B" w:rsidRDefault="00257C73" w:rsidP="0031002B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Тушение хлопковой продукции, горючих материалов необходимо производить распыленными струями воды с добавлением поверхностно-активных веществ. Водяные стволы подают через верхние и боковые лыки. В герметических цельнометаллических вагонах открывать дверные проемы не рекомендуется.</w:t>
      </w:r>
    </w:p>
    <w:p w:rsidR="0031002B" w:rsidRDefault="00257C73" w:rsidP="0031002B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t xml:space="preserve">При тушении контейнеров стволы подают через дверные проемы. При невозможности открытия дверей их тушат после охлаждения поверхности распыленными струями воды и проделывания двух отверстий в противоположных стенках контейнера: одного </w:t>
      </w:r>
      <w:r w:rsidR="0031002B" w:rsidRPr="0031002B">
        <w:rPr>
          <w:rFonts w:ascii="Times New Roman" w:hAnsi="Times New Roman"/>
          <w:sz w:val="28"/>
          <w:szCs w:val="28"/>
        </w:rPr>
        <w:t>–</w:t>
      </w:r>
      <w:r w:rsidRPr="0031002B">
        <w:rPr>
          <w:rFonts w:ascii="Times New Roman" w:hAnsi="Times New Roman"/>
          <w:sz w:val="28"/>
          <w:szCs w:val="28"/>
        </w:rPr>
        <w:t xml:space="preserve"> для введения пожарного ствола, другого </w:t>
      </w:r>
      <w:r w:rsidR="0031002B" w:rsidRPr="0031002B">
        <w:rPr>
          <w:rFonts w:ascii="Times New Roman" w:hAnsi="Times New Roman"/>
          <w:sz w:val="28"/>
          <w:szCs w:val="28"/>
        </w:rPr>
        <w:t>–</w:t>
      </w:r>
      <w:r w:rsidRPr="0031002B">
        <w:rPr>
          <w:rFonts w:ascii="Times New Roman" w:hAnsi="Times New Roman"/>
          <w:sz w:val="28"/>
          <w:szCs w:val="28"/>
        </w:rPr>
        <w:t xml:space="preserve"> для выхода продуктов горения.</w:t>
      </w:r>
    </w:p>
    <w:p w:rsidR="00257C73" w:rsidRPr="0031002B" w:rsidRDefault="00257C73" w:rsidP="0031002B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lastRenderedPageBreak/>
        <w:t>Тушение цистерн с ЛВЖ и ГЖ осуществляется путем подачи воздушно-механической пены.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При истечении ЛВЖ и ГЖ через трещины, сливные устройства необходимо подать компактные струи для отсечения горящих жидкостей от трещин и сливных устройств.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Разлившуюся на путях ЛВЖ и ГЖ тушат пеной средней кратности, распыленной водой, песком, а также, по возможности, создают заградительные валы или отводящие каналы.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Защиту и охлаждение цистерн необходимо производить путем подачи средств тушения по всей поверхности, особенно на верхнюю ее часть и дыхательную арматуру с использованием стволов-распылителей с насадками турбинного типа НРТ-5, НРТ-10.</w:t>
      </w:r>
    </w:p>
    <w:p w:rsidR="00257C73" w:rsidRPr="00DC7816" w:rsidRDefault="00257C73" w:rsidP="0031002B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При аварийном истечении сжиженного углеводородного газа тушение факела производится после ликвидации утечек.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Тушение следует производить под защитой водяной завесы, подаваемой стволами с насадком НРТ-10.</w:t>
      </w:r>
    </w:p>
    <w:p w:rsidR="00257C73" w:rsidRPr="00DC7816" w:rsidRDefault="00257C73" w:rsidP="0031002B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При наличии в зоне горения вагонов и цистерн с ВВ, ЯВ, РВ необходимо принять меры по охлаждению каждой единицы стволами.</w:t>
      </w:r>
    </w:p>
    <w:p w:rsidR="0031002B" w:rsidRDefault="00257C73" w:rsidP="0031002B">
      <w:pPr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Во всех случаях, по возможности, необходимо произвести расцепку горящих вагонов, цистерн и отвод их на безопасное расстояние, а также вывод подвижного состава, вагонов, цистерн из тоннеля.</w:t>
      </w:r>
    </w:p>
    <w:p w:rsidR="00257C73" w:rsidRPr="0031002B" w:rsidRDefault="00257C73" w:rsidP="0031002B">
      <w:pPr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02B">
        <w:rPr>
          <w:rFonts w:ascii="Times New Roman" w:hAnsi="Times New Roman"/>
          <w:sz w:val="28"/>
          <w:szCs w:val="28"/>
        </w:rPr>
        <w:t>При невозможности тушения следует принять меры к изоляции зоны горения. Для этого, по предложению РТП, начальник штаба АСР должен организовать возведение в тоннеле перемычек из негорючих материалов, располагаемых возможно ближе к очагу пожара, силами личного состава аварийно-восстановительного поезда.</w:t>
      </w:r>
    </w:p>
    <w:p w:rsidR="0031002B" w:rsidRDefault="0031002B" w:rsidP="0031002B">
      <w:pPr>
        <w:pStyle w:val="Heading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31002B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>ЛИТЕРАТУРА</w:t>
      </w:r>
    </w:p>
    <w:p w:rsidR="00257C73" w:rsidRPr="00DC7816" w:rsidRDefault="00257C73" w:rsidP="0031002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DC7816" w:rsidRDefault="00257C73" w:rsidP="0031002B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Инструкция по тушению пожаров в подвижном составе железных дорог.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М.: Транспорт, 1973.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>16 с.</w:t>
      </w:r>
    </w:p>
    <w:p w:rsidR="00257C73" w:rsidRPr="00DC7816" w:rsidRDefault="00257C73" w:rsidP="0031002B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Соглашение о порядке осуществления государственного пожарного надзора и других полномочий Государственной противопожарной службы МВД Российской Федерации на объектах Министерства путей сообщения Российской Федерации.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М.: МВД РФ; МПС РФ. 1994.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>4 с.</w:t>
      </w:r>
    </w:p>
    <w:p w:rsidR="00257C73" w:rsidRPr="00DC7816" w:rsidRDefault="00257C73" w:rsidP="0031002B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Правила безопасности и порядок ликвидации аварийных ситуаций с опасными грузами при перевозке их по железным дорогам.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М.: Транспорт, 1984.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>285 с.</w:t>
      </w:r>
    </w:p>
    <w:p w:rsidR="00257C73" w:rsidRPr="00DC7816" w:rsidRDefault="00257C73" w:rsidP="0031002B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Наставление по газодымозащитной службе пожарной охраны.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 xml:space="preserve"> М.</w:t>
      </w:r>
      <w:r w:rsidR="0031002B">
        <w:rPr>
          <w:rFonts w:ascii="Times New Roman" w:hAnsi="Times New Roman"/>
          <w:sz w:val="28"/>
          <w:szCs w:val="28"/>
        </w:rPr>
        <w:t>:</w:t>
      </w:r>
      <w:r w:rsidRPr="00DC7816">
        <w:rPr>
          <w:rFonts w:ascii="Times New Roman" w:hAnsi="Times New Roman"/>
          <w:sz w:val="28"/>
          <w:szCs w:val="28"/>
        </w:rPr>
        <w:t xml:space="preserve"> МВД СССР, 1988.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>122 с.</w:t>
      </w:r>
    </w:p>
    <w:p w:rsidR="00257C73" w:rsidRPr="00DC7816" w:rsidRDefault="00257C73" w:rsidP="0031002B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816">
        <w:rPr>
          <w:rFonts w:ascii="Times New Roman" w:hAnsi="Times New Roman"/>
          <w:sz w:val="28"/>
          <w:szCs w:val="28"/>
        </w:rPr>
        <w:t xml:space="preserve">Боевой устав пожарной охраны. </w:t>
      </w:r>
      <w:r w:rsidR="0031002B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>М.</w:t>
      </w:r>
      <w:r w:rsidR="003C49D3">
        <w:rPr>
          <w:rFonts w:ascii="Times New Roman" w:hAnsi="Times New Roman"/>
          <w:sz w:val="28"/>
          <w:szCs w:val="28"/>
        </w:rPr>
        <w:t>:</w:t>
      </w:r>
      <w:r w:rsidRPr="00DC7816">
        <w:rPr>
          <w:rFonts w:ascii="Times New Roman" w:hAnsi="Times New Roman"/>
          <w:sz w:val="28"/>
          <w:szCs w:val="28"/>
        </w:rPr>
        <w:t xml:space="preserve"> 1985. </w:t>
      </w:r>
      <w:r w:rsidR="003C49D3">
        <w:rPr>
          <w:rFonts w:ascii="Times New Roman" w:hAnsi="Times New Roman"/>
          <w:sz w:val="28"/>
          <w:szCs w:val="28"/>
        </w:rPr>
        <w:t>–</w:t>
      </w:r>
      <w:r w:rsidRPr="00DC7816">
        <w:rPr>
          <w:rFonts w:ascii="Times New Roman" w:hAnsi="Times New Roman"/>
          <w:sz w:val="28"/>
          <w:szCs w:val="28"/>
        </w:rPr>
        <w:t>181 с.</w:t>
      </w:r>
    </w:p>
    <w:p w:rsidR="00257C73" w:rsidRPr="00190B16" w:rsidRDefault="003C49D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br w:type="page"/>
      </w:r>
      <w:r w:rsidR="00257C73" w:rsidRPr="00190B16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257C73" w:rsidRPr="00190B16" w:rsidRDefault="00257C73">
      <w:pPr>
        <w:jc w:val="right"/>
        <w:rPr>
          <w:rFonts w:ascii="Times New Roman" w:hAnsi="Times New Roman"/>
          <w:sz w:val="28"/>
          <w:szCs w:val="28"/>
        </w:rPr>
      </w:pPr>
    </w:p>
    <w:p w:rsidR="00257C73" w:rsidRPr="00190B1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90B16">
        <w:rPr>
          <w:rFonts w:ascii="Times New Roman" w:hAnsi="Times New Roman"/>
          <w:sz w:val="28"/>
          <w:szCs w:val="28"/>
        </w:rPr>
        <w:t xml:space="preserve">Форма оперативного журнала штаба аварийно-спасательных работ </w:t>
      </w:r>
    </w:p>
    <w:p w:rsidR="00257C73" w:rsidRPr="00190B16" w:rsidRDefault="00776526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90B16">
        <w:rPr>
          <w:rFonts w:ascii="Times New Roman" w:hAnsi="Times New Roman"/>
          <w:sz w:val="28"/>
          <w:szCs w:val="28"/>
        </w:rPr>
        <w:t xml:space="preserve"> </w:t>
      </w:r>
    </w:p>
    <w:p w:rsidR="00257C73" w:rsidRPr="00190B1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90B16">
        <w:rPr>
          <w:rFonts w:ascii="Times New Roman" w:hAnsi="Times New Roman"/>
          <w:sz w:val="28"/>
          <w:szCs w:val="28"/>
        </w:rPr>
        <w:t xml:space="preserve">ОПЕРАТИВНЫЙ ЖУРНАЛ ШТАБА АВАРИЙНО-СПАСАТЕЛЬНЫХ РАБОТ </w:t>
      </w:r>
    </w:p>
    <w:p w:rsidR="00257C73" w:rsidRPr="00190B16" w:rsidRDefault="00257C73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410"/>
        <w:gridCol w:w="2551"/>
        <w:gridCol w:w="1843"/>
      </w:tblGrid>
      <w:tr w:rsidR="00257C73" w:rsidRPr="00190B16" w:rsidTr="00190B1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3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B16"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2126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B16">
              <w:rPr>
                <w:rFonts w:ascii="Times New Roman" w:hAnsi="Times New Roman"/>
                <w:sz w:val="28"/>
                <w:szCs w:val="28"/>
              </w:rPr>
              <w:t>Содержание распоряжения</w:t>
            </w:r>
          </w:p>
        </w:tc>
        <w:tc>
          <w:tcPr>
            <w:tcW w:w="2410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B16">
              <w:rPr>
                <w:rFonts w:ascii="Times New Roman" w:hAnsi="Times New Roman"/>
                <w:sz w:val="28"/>
                <w:szCs w:val="28"/>
              </w:rPr>
              <w:t>Фамилия, должность и подпись отдавшего распоряжение</w:t>
            </w:r>
          </w:p>
        </w:tc>
        <w:tc>
          <w:tcPr>
            <w:tcW w:w="2551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B16">
              <w:rPr>
                <w:rFonts w:ascii="Times New Roman" w:hAnsi="Times New Roman"/>
                <w:sz w:val="28"/>
                <w:szCs w:val="28"/>
              </w:rPr>
              <w:t>Фамилия, должность и подпись получившего распоряжение</w:t>
            </w:r>
          </w:p>
        </w:tc>
        <w:tc>
          <w:tcPr>
            <w:tcW w:w="1843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B16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257C73" w:rsidRPr="00190B16" w:rsidTr="00190B1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3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7C73" w:rsidRPr="00190B16" w:rsidRDefault="00257C73" w:rsidP="00190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0B16" w:rsidRDefault="00190B16">
      <w:pPr>
        <w:jc w:val="right"/>
        <w:rPr>
          <w:rFonts w:ascii="Times New Roman" w:hAnsi="Times New Roman"/>
          <w:sz w:val="28"/>
          <w:szCs w:val="28"/>
        </w:rPr>
      </w:pPr>
    </w:p>
    <w:p w:rsidR="00257C73" w:rsidRPr="00190B16" w:rsidRDefault="00190B1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57C73" w:rsidRPr="00190B16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257C73" w:rsidRPr="00190B16" w:rsidRDefault="00257C73">
      <w:pPr>
        <w:jc w:val="right"/>
        <w:rPr>
          <w:rFonts w:ascii="Times New Roman" w:hAnsi="Times New Roman"/>
          <w:sz w:val="28"/>
          <w:szCs w:val="28"/>
        </w:rPr>
      </w:pPr>
    </w:p>
    <w:p w:rsidR="00257C73" w:rsidRPr="00190B1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90B16">
        <w:rPr>
          <w:rFonts w:ascii="Times New Roman" w:hAnsi="Times New Roman"/>
          <w:sz w:val="28"/>
          <w:szCs w:val="28"/>
        </w:rPr>
        <w:t xml:space="preserve">Форма бланков </w:t>
      </w:r>
      <w:r w:rsidR="00190B16">
        <w:rPr>
          <w:rFonts w:ascii="Times New Roman" w:hAnsi="Times New Roman"/>
          <w:sz w:val="28"/>
          <w:szCs w:val="28"/>
        </w:rPr>
        <w:t>«</w:t>
      </w:r>
      <w:r w:rsidRPr="00190B16">
        <w:rPr>
          <w:rFonts w:ascii="Times New Roman" w:hAnsi="Times New Roman"/>
          <w:sz w:val="28"/>
          <w:szCs w:val="28"/>
        </w:rPr>
        <w:t>Разрешение на работу</w:t>
      </w:r>
      <w:r w:rsidR="00190B16">
        <w:rPr>
          <w:rFonts w:ascii="Times New Roman" w:hAnsi="Times New Roman"/>
          <w:sz w:val="28"/>
          <w:szCs w:val="28"/>
        </w:rPr>
        <w:t>»</w:t>
      </w:r>
      <w:r w:rsidRPr="00190B16">
        <w:rPr>
          <w:rFonts w:ascii="Times New Roman" w:hAnsi="Times New Roman"/>
          <w:sz w:val="28"/>
          <w:szCs w:val="28"/>
        </w:rPr>
        <w:t xml:space="preserve"> и </w:t>
      </w:r>
      <w:r w:rsidR="00190B16">
        <w:rPr>
          <w:rFonts w:ascii="Times New Roman" w:hAnsi="Times New Roman"/>
          <w:sz w:val="28"/>
          <w:szCs w:val="28"/>
        </w:rPr>
        <w:t>«</w:t>
      </w:r>
      <w:r w:rsidRPr="00190B16">
        <w:rPr>
          <w:rFonts w:ascii="Times New Roman" w:hAnsi="Times New Roman"/>
          <w:sz w:val="28"/>
          <w:szCs w:val="28"/>
        </w:rPr>
        <w:t>Уведомление</w:t>
      </w:r>
      <w:r w:rsidR="00190B16">
        <w:rPr>
          <w:rFonts w:ascii="Times New Roman" w:hAnsi="Times New Roman"/>
          <w:sz w:val="28"/>
          <w:szCs w:val="28"/>
        </w:rPr>
        <w:t>»</w:t>
      </w:r>
    </w:p>
    <w:p w:rsidR="00257C73" w:rsidRPr="00190B1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257C73" w:rsidRPr="00190B16" w:rsidRDefault="00257C7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90B16">
        <w:rPr>
          <w:rFonts w:ascii="Times New Roman" w:hAnsi="Times New Roman"/>
          <w:sz w:val="28"/>
          <w:szCs w:val="28"/>
        </w:rPr>
        <w:t>РАЗРЕШЕНИЕ НА РАБОТУ №</w:t>
      </w:r>
      <w:r w:rsidR="00190B16">
        <w:rPr>
          <w:rFonts w:ascii="Times New Roman" w:hAnsi="Times New Roman"/>
          <w:sz w:val="28"/>
          <w:szCs w:val="28"/>
        </w:rPr>
        <w:t xml:space="preserve"> _____</w:t>
      </w:r>
    </w:p>
    <w:p w:rsidR="00257C73" w:rsidRDefault="00257C73">
      <w:pPr>
        <w:ind w:firstLine="225"/>
        <w:jc w:val="both"/>
        <w:rPr>
          <w:rFonts w:ascii="Times New Roman" w:hAnsi="Times New Roman"/>
          <w:sz w:val="20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Руководителю _______________________________________________________</w:t>
      </w:r>
    </w:p>
    <w:p w:rsidR="00257C73" w:rsidRDefault="00257C73" w:rsidP="00190B16">
      <w:pPr>
        <w:ind w:left="504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Ф., И., О.</w:t>
      </w:r>
    </w:p>
    <w:p w:rsidR="00190B16" w:rsidRDefault="00190B16" w:rsidP="00190B16">
      <w:pPr>
        <w:jc w:val="both"/>
        <w:rPr>
          <w:rFonts w:ascii="Times New Roman" w:hAnsi="Times New Roman"/>
          <w:sz w:val="28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Разрешаю по приказу энергодиспетчера № ______________</w:t>
      </w:r>
      <w:r w:rsidR="00190B16">
        <w:rPr>
          <w:rFonts w:ascii="Times New Roman" w:hAnsi="Times New Roman"/>
          <w:sz w:val="28"/>
        </w:rPr>
        <w:t>_</w:t>
      </w:r>
      <w:r w:rsidRPr="00190B16">
        <w:rPr>
          <w:rFonts w:ascii="Times New Roman" w:hAnsi="Times New Roman"/>
          <w:sz w:val="28"/>
        </w:rPr>
        <w:t>__________________</w:t>
      </w:r>
    </w:p>
    <w:p w:rsidR="00257C73" w:rsidRDefault="00257C73">
      <w:pPr>
        <w:ind w:firstLine="225"/>
        <w:jc w:val="both"/>
        <w:rPr>
          <w:rFonts w:ascii="Times New Roman" w:hAnsi="Times New Roman"/>
          <w:sz w:val="20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приступить к работе ____________________________________________________</w:t>
      </w:r>
    </w:p>
    <w:p w:rsidR="00257C73" w:rsidRDefault="00257C73" w:rsidP="00190B16">
      <w:pPr>
        <w:ind w:left="4320"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 станции, перегоне)</w:t>
      </w: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от км ______________________________________________</w:t>
      </w:r>
      <w:r w:rsidR="00190B16">
        <w:rPr>
          <w:rFonts w:ascii="Times New Roman" w:hAnsi="Times New Roman"/>
          <w:sz w:val="28"/>
        </w:rPr>
        <w:t>___________________</w:t>
      </w:r>
    </w:p>
    <w:p w:rsidR="00190B16" w:rsidRDefault="00190B16" w:rsidP="00190B16">
      <w:pPr>
        <w:jc w:val="both"/>
        <w:rPr>
          <w:rFonts w:ascii="Times New Roman" w:hAnsi="Times New Roman"/>
          <w:sz w:val="20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 xml:space="preserve">ПК __________________ до км _____________ ПК </w:t>
      </w:r>
      <w:r w:rsidR="00190B16">
        <w:rPr>
          <w:rFonts w:ascii="Times New Roman" w:hAnsi="Times New Roman"/>
          <w:sz w:val="28"/>
        </w:rPr>
        <w:t>__________________________</w:t>
      </w:r>
    </w:p>
    <w:p w:rsidR="00257C73" w:rsidRDefault="00257C73" w:rsidP="00190B16">
      <w:pPr>
        <w:jc w:val="both"/>
        <w:rPr>
          <w:rFonts w:ascii="Times New Roman" w:hAnsi="Times New Roman"/>
          <w:sz w:val="20"/>
        </w:rPr>
      </w:pPr>
    </w:p>
    <w:p w:rsidR="00257C73" w:rsidRPr="00570D8E" w:rsidRDefault="00257C73" w:rsidP="00190B16">
      <w:pPr>
        <w:jc w:val="both"/>
        <w:rPr>
          <w:rFonts w:ascii="Times New Roman" w:hAnsi="Times New Roman"/>
          <w:sz w:val="20"/>
        </w:rPr>
      </w:pPr>
      <w:r w:rsidRPr="00190B16">
        <w:rPr>
          <w:rFonts w:ascii="Times New Roman" w:hAnsi="Times New Roman"/>
          <w:sz w:val="28"/>
        </w:rPr>
        <w:t>в пределах опор № _______________________________</w:t>
      </w:r>
      <w:r w:rsidR="00190B16">
        <w:rPr>
          <w:rFonts w:ascii="Times New Roman" w:hAnsi="Times New Roman"/>
          <w:sz w:val="28"/>
        </w:rPr>
        <w:t>______________________</w:t>
      </w:r>
    </w:p>
    <w:p w:rsidR="00257C73" w:rsidRDefault="00257C73">
      <w:pPr>
        <w:ind w:firstLine="225"/>
        <w:jc w:val="both"/>
        <w:rPr>
          <w:rFonts w:ascii="Times New Roman" w:hAnsi="Times New Roman"/>
          <w:sz w:val="20"/>
        </w:rPr>
      </w:pPr>
    </w:p>
    <w:p w:rsidR="00257C73" w:rsidRDefault="00257C73" w:rsidP="00190B16">
      <w:pPr>
        <w:jc w:val="both"/>
        <w:rPr>
          <w:rFonts w:ascii="Times New Roman" w:hAnsi="Times New Roman"/>
          <w:sz w:val="20"/>
        </w:rPr>
      </w:pPr>
      <w:r w:rsidRPr="00190B16">
        <w:rPr>
          <w:rFonts w:ascii="Times New Roman" w:hAnsi="Times New Roman"/>
          <w:sz w:val="28"/>
        </w:rPr>
        <w:t xml:space="preserve">к токоведущим частям не приближаться на расстояние менее 2 м, контактная сеть заземлена в пролетах между опорами </w:t>
      </w:r>
    </w:p>
    <w:p w:rsidR="00257C73" w:rsidRDefault="00257C73" w:rsidP="00190B16">
      <w:pPr>
        <w:jc w:val="both"/>
        <w:rPr>
          <w:rFonts w:ascii="Times New Roman" w:hAnsi="Times New Roman"/>
          <w:sz w:val="20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№ ___________________________________________________________________</w:t>
      </w:r>
    </w:p>
    <w:p w:rsidR="00257C73" w:rsidRDefault="00257C73" w:rsidP="00190B16">
      <w:pPr>
        <w:jc w:val="both"/>
        <w:rPr>
          <w:rFonts w:ascii="Times New Roman" w:hAnsi="Times New Roman"/>
          <w:sz w:val="20"/>
        </w:rPr>
      </w:pPr>
    </w:p>
    <w:p w:rsidR="00257C73" w:rsidRDefault="00257C73" w:rsidP="00190B16">
      <w:pPr>
        <w:jc w:val="both"/>
        <w:rPr>
          <w:rFonts w:ascii="Times New Roman" w:hAnsi="Times New Roman"/>
          <w:sz w:val="20"/>
        </w:rPr>
      </w:pPr>
      <w:r w:rsidRPr="00190B16">
        <w:rPr>
          <w:rFonts w:ascii="Times New Roman" w:hAnsi="Times New Roman"/>
          <w:sz w:val="28"/>
        </w:rPr>
        <w:t>Начало работ __</w:t>
      </w:r>
      <w:r w:rsidR="00190B16">
        <w:rPr>
          <w:rFonts w:ascii="Times New Roman" w:hAnsi="Times New Roman"/>
          <w:sz w:val="28"/>
        </w:rPr>
        <w:t>_</w:t>
      </w:r>
      <w:r w:rsidRPr="00190B16">
        <w:rPr>
          <w:rFonts w:ascii="Times New Roman" w:hAnsi="Times New Roman"/>
          <w:sz w:val="28"/>
        </w:rPr>
        <w:t>_______________________________________________________</w:t>
      </w:r>
    </w:p>
    <w:p w:rsidR="00257C73" w:rsidRDefault="00257C73" w:rsidP="00190B16">
      <w:pPr>
        <w:jc w:val="both"/>
        <w:rPr>
          <w:rFonts w:ascii="Times New Roman" w:hAnsi="Times New Roman"/>
          <w:sz w:val="20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Окончание работ ______________________________________________________</w:t>
      </w:r>
    </w:p>
    <w:p w:rsidR="00257C73" w:rsidRDefault="00257C73" w:rsidP="00190B16">
      <w:pPr>
        <w:jc w:val="both"/>
        <w:rPr>
          <w:rFonts w:ascii="Times New Roman" w:hAnsi="Times New Roman"/>
          <w:sz w:val="20"/>
        </w:rPr>
      </w:pPr>
    </w:p>
    <w:p w:rsidR="00257C73" w:rsidRPr="00190B16" w:rsidRDefault="00257C73">
      <w:pPr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Ответственный за электробезопасность в части контактной сети и ВЛ__________</w:t>
      </w:r>
    </w:p>
    <w:p w:rsidR="00257C73" w:rsidRDefault="00190B16" w:rsidP="00190B16">
      <w:pPr>
        <w:ind w:left="7920"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="00257C73">
        <w:rPr>
          <w:rFonts w:ascii="Times New Roman" w:hAnsi="Times New Roman"/>
          <w:sz w:val="20"/>
        </w:rPr>
        <w:t>(подпись)</w:t>
      </w:r>
    </w:p>
    <w:p w:rsidR="00257C73" w:rsidRPr="00190B16" w:rsidRDefault="00257C73">
      <w:pPr>
        <w:ind w:firstLine="225"/>
        <w:jc w:val="both"/>
        <w:rPr>
          <w:rFonts w:ascii="Times New Roman" w:hAnsi="Times New Roman"/>
          <w:sz w:val="28"/>
        </w:rPr>
      </w:pPr>
    </w:p>
    <w:p w:rsidR="00190B16" w:rsidRDefault="00190B16">
      <w:pPr>
        <w:pStyle w:val="Heading"/>
        <w:jc w:val="center"/>
        <w:rPr>
          <w:rFonts w:ascii="Times New Roman" w:hAnsi="Times New Roman"/>
          <w:sz w:val="28"/>
        </w:rPr>
      </w:pPr>
    </w:p>
    <w:p w:rsidR="00257C73" w:rsidRPr="00190B16" w:rsidRDefault="00257C73">
      <w:pPr>
        <w:pStyle w:val="Heading"/>
        <w:jc w:val="center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 xml:space="preserve">УВЕДОМЛЕНИЕ </w:t>
      </w:r>
    </w:p>
    <w:p w:rsidR="00190B16" w:rsidRDefault="00190B16">
      <w:pPr>
        <w:ind w:firstLine="225"/>
        <w:jc w:val="both"/>
        <w:rPr>
          <w:rFonts w:ascii="Times New Roman" w:hAnsi="Times New Roman"/>
          <w:sz w:val="28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Ответственному за электробезопасность в части контактной сети и ВЛ _______</w:t>
      </w:r>
      <w:r w:rsidR="00190B16">
        <w:rPr>
          <w:rFonts w:ascii="Times New Roman" w:hAnsi="Times New Roman"/>
          <w:sz w:val="28"/>
        </w:rPr>
        <w:t>__</w:t>
      </w:r>
    </w:p>
    <w:p w:rsidR="00257C73" w:rsidRPr="00190B16" w:rsidRDefault="00190B16" w:rsidP="00190B16">
      <w:pPr>
        <w:ind w:left="792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      </w:t>
      </w:r>
      <w:r w:rsidR="00257C73" w:rsidRPr="00190B16">
        <w:rPr>
          <w:rFonts w:ascii="Times New Roman" w:hAnsi="Times New Roman"/>
          <w:sz w:val="20"/>
        </w:rPr>
        <w:t>Ф.,И.,О.</w:t>
      </w:r>
    </w:p>
    <w:p w:rsidR="00257C73" w:rsidRPr="00190B16" w:rsidRDefault="00257C73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по разрешению № ____________________________</w:t>
      </w:r>
      <w:r w:rsidR="00190B16">
        <w:rPr>
          <w:rFonts w:ascii="Times New Roman" w:hAnsi="Times New Roman"/>
          <w:sz w:val="28"/>
        </w:rPr>
        <w:t>_______________________</w:t>
      </w:r>
      <w:r w:rsidRPr="00190B16">
        <w:rPr>
          <w:rFonts w:ascii="Times New Roman" w:hAnsi="Times New Roman"/>
          <w:sz w:val="28"/>
        </w:rPr>
        <w:t>___</w:t>
      </w: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работы на ______________________________________</w:t>
      </w:r>
      <w:r w:rsidR="00190B16">
        <w:rPr>
          <w:rFonts w:ascii="Times New Roman" w:hAnsi="Times New Roman"/>
          <w:sz w:val="28"/>
        </w:rPr>
        <w:t>______________________</w:t>
      </w:r>
      <w:r w:rsidRPr="00190B16">
        <w:rPr>
          <w:rFonts w:ascii="Times New Roman" w:hAnsi="Times New Roman"/>
          <w:sz w:val="28"/>
        </w:rPr>
        <w:t>_</w:t>
      </w:r>
    </w:p>
    <w:p w:rsidR="00257C73" w:rsidRPr="00190B16" w:rsidRDefault="00257C73" w:rsidP="00190B16">
      <w:pPr>
        <w:ind w:left="2880" w:firstLine="720"/>
        <w:jc w:val="both"/>
        <w:rPr>
          <w:rFonts w:ascii="Times New Roman" w:hAnsi="Times New Roman"/>
          <w:sz w:val="20"/>
        </w:rPr>
      </w:pPr>
      <w:r w:rsidRPr="00190B16">
        <w:rPr>
          <w:rFonts w:ascii="Times New Roman" w:hAnsi="Times New Roman"/>
          <w:sz w:val="20"/>
        </w:rPr>
        <w:t>(наименование перегона, станции)</w:t>
      </w:r>
    </w:p>
    <w:p w:rsidR="00257C73" w:rsidRPr="00190B16" w:rsidRDefault="00257C73">
      <w:pPr>
        <w:ind w:firstLine="225"/>
        <w:jc w:val="both"/>
        <w:rPr>
          <w:rFonts w:ascii="Times New Roman" w:hAnsi="Times New Roman"/>
          <w:sz w:val="28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от км _________</w:t>
      </w:r>
      <w:r w:rsidR="00190B16">
        <w:rPr>
          <w:rFonts w:ascii="Times New Roman" w:hAnsi="Times New Roman"/>
          <w:sz w:val="28"/>
        </w:rPr>
        <w:t>__</w:t>
      </w:r>
      <w:r w:rsidRPr="00190B16">
        <w:rPr>
          <w:rFonts w:ascii="Times New Roman" w:hAnsi="Times New Roman"/>
          <w:sz w:val="28"/>
        </w:rPr>
        <w:t>_______</w:t>
      </w:r>
      <w:r w:rsidR="00190B16">
        <w:rPr>
          <w:rFonts w:ascii="Times New Roman" w:hAnsi="Times New Roman"/>
          <w:sz w:val="28"/>
        </w:rPr>
        <w:t xml:space="preserve"> </w:t>
      </w:r>
      <w:r w:rsidRPr="00190B16">
        <w:rPr>
          <w:rFonts w:ascii="Times New Roman" w:hAnsi="Times New Roman"/>
          <w:sz w:val="28"/>
        </w:rPr>
        <w:t>ПК _______________</w:t>
      </w:r>
      <w:r w:rsidR="00190B16">
        <w:rPr>
          <w:rFonts w:ascii="Times New Roman" w:hAnsi="Times New Roman"/>
          <w:sz w:val="28"/>
        </w:rPr>
        <w:t>__ до км ____________________</w:t>
      </w: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ПК _________ закончены, люди выведены, механ</w:t>
      </w:r>
      <w:r w:rsidR="00190B16">
        <w:rPr>
          <w:rFonts w:ascii="Times New Roman" w:hAnsi="Times New Roman"/>
          <w:sz w:val="28"/>
        </w:rPr>
        <w:t>измы сняты в ч ____ мин ____</w:t>
      </w:r>
    </w:p>
    <w:p w:rsidR="00257C73" w:rsidRPr="00190B16" w:rsidRDefault="00257C73">
      <w:pPr>
        <w:ind w:firstLine="225"/>
        <w:jc w:val="both"/>
        <w:rPr>
          <w:rFonts w:ascii="Times New Roman" w:hAnsi="Times New Roman"/>
          <w:sz w:val="28"/>
        </w:rPr>
      </w:pPr>
    </w:p>
    <w:p w:rsidR="00257C73" w:rsidRPr="00190B16" w:rsidRDefault="00257C73" w:rsidP="00190B16">
      <w:pPr>
        <w:jc w:val="both"/>
        <w:rPr>
          <w:rFonts w:ascii="Times New Roman" w:hAnsi="Times New Roman"/>
          <w:sz w:val="28"/>
        </w:rPr>
      </w:pPr>
      <w:r w:rsidRPr="00190B16">
        <w:rPr>
          <w:rFonts w:ascii="Times New Roman" w:hAnsi="Times New Roman"/>
          <w:sz w:val="28"/>
        </w:rPr>
        <w:t>Руководитель работ ______________________________</w:t>
      </w:r>
    </w:p>
    <w:p w:rsidR="00257C73" w:rsidRPr="00190B16" w:rsidRDefault="00190B16" w:rsidP="00190B16">
      <w:pPr>
        <w:ind w:left="360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  </w:t>
      </w:r>
      <w:r w:rsidR="00257C73" w:rsidRPr="00190B16">
        <w:rPr>
          <w:rFonts w:ascii="Times New Roman" w:hAnsi="Times New Roman"/>
          <w:sz w:val="20"/>
        </w:rPr>
        <w:t>(подпись)</w:t>
      </w:r>
    </w:p>
    <w:p w:rsidR="00257C73" w:rsidRPr="00190B16" w:rsidRDefault="00190B16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 w:rsidR="00257C73" w:rsidRPr="00190B16">
        <w:rPr>
          <w:rFonts w:ascii="Times New Roman" w:hAnsi="Times New Roman"/>
          <w:sz w:val="28"/>
        </w:rPr>
        <w:lastRenderedPageBreak/>
        <w:t>ПРИЛОЖЕНИЕ 3</w:t>
      </w:r>
    </w:p>
    <w:p w:rsidR="00257C73" w:rsidRDefault="00257C73" w:rsidP="00176DFC">
      <w:pPr>
        <w:ind w:firstLine="709"/>
        <w:jc w:val="right"/>
        <w:rPr>
          <w:rFonts w:ascii="Times New Roman" w:hAnsi="Times New Roman"/>
          <w:sz w:val="20"/>
        </w:rPr>
      </w:pPr>
    </w:p>
    <w:p w:rsidR="00257C73" w:rsidRPr="00176DFC" w:rsidRDefault="00257C73" w:rsidP="00176DFC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Методические указания по разработке плана пожаротушения для железнодорожных тоннелей </w:t>
      </w:r>
    </w:p>
    <w:p w:rsidR="00257C73" w:rsidRPr="00176DFC" w:rsidRDefault="00257C73" w:rsidP="00176DFC">
      <w:pPr>
        <w:pStyle w:val="Heading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176DFC">
      <w:pPr>
        <w:pStyle w:val="Heading"/>
        <w:numPr>
          <w:ilvl w:val="2"/>
          <w:numId w:val="1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Общие положения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3CBB" w:rsidRDefault="00257C73" w:rsidP="00513CBB">
      <w:pPr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План пожаротушения разрабатывается в соответствии с </w:t>
      </w:r>
      <w:r w:rsidR="00513CBB">
        <w:rPr>
          <w:rFonts w:ascii="Times New Roman" w:hAnsi="Times New Roman"/>
          <w:sz w:val="28"/>
          <w:szCs w:val="28"/>
        </w:rPr>
        <w:t>«</w:t>
      </w:r>
      <w:r w:rsidRPr="00176DFC">
        <w:rPr>
          <w:rFonts w:ascii="Times New Roman" w:hAnsi="Times New Roman"/>
          <w:sz w:val="28"/>
          <w:szCs w:val="28"/>
        </w:rPr>
        <w:t>Указанием по составлению в частях и гарнизонах пожарной охраны оперативных планов и карточек тушения пожаров</w:t>
      </w:r>
      <w:r w:rsidR="00513CBB">
        <w:rPr>
          <w:rFonts w:ascii="Times New Roman" w:hAnsi="Times New Roman"/>
          <w:sz w:val="28"/>
          <w:szCs w:val="28"/>
        </w:rPr>
        <w:t>»</w:t>
      </w:r>
      <w:r w:rsidRPr="00176DFC">
        <w:rPr>
          <w:rFonts w:ascii="Times New Roman" w:hAnsi="Times New Roman"/>
          <w:sz w:val="28"/>
          <w:szCs w:val="28"/>
        </w:rPr>
        <w:t xml:space="preserve"> (М.: ГУПО МВД СССР, 1970 г.) с учетом специфики тоннельных сооружений. В нем должны рассматриваться наиболее сложные варианты тушения пожаров и проведения эвакуационно-спасательных работ, а также варианты, необходимость которых определяется лицами, ответственными за его разработку.</w:t>
      </w:r>
    </w:p>
    <w:p w:rsidR="00513CBB" w:rsidRDefault="00257C73" w:rsidP="00176DFC">
      <w:pPr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Ответственными за разработку планов пожаротушения являются начальники отрядов ВО МПС.</w:t>
      </w:r>
    </w:p>
    <w:p w:rsidR="00257C73" w:rsidRPr="00513CBB" w:rsidRDefault="00257C73" w:rsidP="00176DFC">
      <w:pPr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Планы пожаротушения для железнодорожных тоннелей составляются в двух экземплярах и хранятся: в подразделении пожарной охраны МПС, обслуживающем тоннель, и в гарнизоне ГПС МВД.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176DFC">
      <w:pPr>
        <w:pStyle w:val="Heading"/>
        <w:numPr>
          <w:ilvl w:val="2"/>
          <w:numId w:val="1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Основные указания по составлению плана пожаротушения </w:t>
      </w:r>
    </w:p>
    <w:p w:rsidR="00513CBB" w:rsidRDefault="00513CBB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3CBB" w:rsidRDefault="00257C73" w:rsidP="00513CBB">
      <w:pPr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План пожаротушения должен состоять из текстовой и графической части, выполненных на плотной бумаге с плотной обложкой, рекомендуемый формат А4.</w:t>
      </w:r>
    </w:p>
    <w:p w:rsidR="00513CBB" w:rsidRDefault="00257C73" w:rsidP="00513CBB">
      <w:pPr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Планы и схемы составляются с соблюдением, по возможности, масштабов. При составлении схем необходимо придерживаться единых условных графических обозначений, которые приведены в Боевом уставе пожарной охраны.</w:t>
      </w:r>
    </w:p>
    <w:p w:rsidR="00257C73" w:rsidRPr="00513CBB" w:rsidRDefault="00257C73" w:rsidP="00513CBB">
      <w:pPr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К плану пожаротушения, учитывая оперативно-тактическую характеристику объекта, разрабатываются конкретные обязанности ответственных лиц оперативного штаба: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руководителя тушения пожара;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начальника штаба;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начальника тыла;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начальника группы штаба вспомогательного направления;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начальника контрольно-пропускного пункта;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ответственного за технику безопасности и начальника связи. 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Они прикладываются к плану пожаротушения в двух экземплярах: один находится в составе плана пожаротушения, а второй - в непромокаемом прозрачном конверте, который выдается должностному лицу для руководства в процессе тушения пожара.</w:t>
      </w:r>
    </w:p>
    <w:p w:rsidR="00257C73" w:rsidRPr="00176DFC" w:rsidRDefault="00513CBB" w:rsidP="00176DFC">
      <w:pPr>
        <w:pStyle w:val="Heading"/>
        <w:numPr>
          <w:ilvl w:val="2"/>
          <w:numId w:val="1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57C73" w:rsidRPr="00176DFC">
        <w:rPr>
          <w:rFonts w:ascii="Times New Roman" w:hAnsi="Times New Roman"/>
          <w:sz w:val="28"/>
          <w:szCs w:val="28"/>
        </w:rPr>
        <w:lastRenderedPageBreak/>
        <w:t xml:space="preserve">Основные указания по составлению текстовой части плана </w:t>
      </w:r>
      <w:r w:rsidR="00176DFC">
        <w:rPr>
          <w:rFonts w:ascii="Times New Roman" w:hAnsi="Times New Roman"/>
          <w:sz w:val="28"/>
          <w:szCs w:val="28"/>
        </w:rPr>
        <w:t>п</w:t>
      </w:r>
      <w:r w:rsidR="00257C73" w:rsidRPr="00176DFC">
        <w:rPr>
          <w:rFonts w:ascii="Times New Roman" w:hAnsi="Times New Roman"/>
          <w:sz w:val="28"/>
          <w:szCs w:val="28"/>
        </w:rPr>
        <w:t xml:space="preserve">ожаротушения </w:t>
      </w:r>
    </w:p>
    <w:p w:rsidR="00176DFC" w:rsidRDefault="00176DFC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Титульный лист плана пожаротушения для железнодорожного тоннеля, кроме его наименования, должен иметь сведения о его утверждении и согласовании, номера телефонов охраны тоннеля, поездного диспетчера, дежурного по станции и отделению железной дороги, транспортной милиции, аварийно-восстановительных и медицинских формирований железной дороги и региона.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В текстовую часть плана пожаротушения должны входить:</w:t>
      </w:r>
    </w:p>
    <w:p w:rsidR="00257C73" w:rsidRPr="00176DFC" w:rsidRDefault="00257C73" w:rsidP="00513CBB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Оперативно-тактическая характеристика железнодорожного тоннеля, включающая: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наименование тоннеля и место его расположения;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маршрут следования, подъезды к тоннелю и способы доставки пожарной и другой техники к порталам тоннеля;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наличие ближайших водоемов, подъезды к ним;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способы хранения запасов огнетушащих веществ, количество и средства их доставки;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места и порядок заполнения цистерн огнетушащими веществами, отправка их к месту пожара;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перечень опасных грузов, перевозка которых характерна для региона, их характеристика и способы тушения;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график сосредоточения сил и средств в соответствии с планом привлечения сил и средств;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расчетные данные по максимально возможному расстоянию проникновения в тоннель и времени работы в непригодной для дыхания среде звеньев ГДЗС без перезарядки противогазов;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геометрические размеры тоннеля (длина, высота, ширина на уровне рабочей зоны, профиль пути тоннеля);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наличие помещений в тоннеле, их назначение и характеристика (размеры, наличие и количество пожарной нагрузки);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места расположения средств связи, пожаротушения;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характеристику противопожарного водоснабжения (диаметр сети, напор, водоотдача, емкость противопожарного водоема);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порядок и пути эвакуации пассажиров;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необходимость подачи вагонов для размещения эвакуируемых пассажиров (для районов с суровыми климатическими условиями);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ближайшие больницы для эвакуации пострадавших и маршрут следования к ним;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сведения о тоннельной вентиляции, а также об аварийных режимах ее работы;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наличие электросетей и оборудования, находящихся под напряжением, порядок снятия с них напряжения.</w:t>
      </w:r>
    </w:p>
    <w:p w:rsidR="00513CBB" w:rsidRDefault="00257C73" w:rsidP="00513CBB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Данные о возможном развитии и тушении пожара.</w:t>
      </w:r>
    </w:p>
    <w:p w:rsidR="00513CBB" w:rsidRDefault="00257C73" w:rsidP="00513CBB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Характеристики возможной обстановки пожара по промежуткам времени.</w:t>
      </w:r>
    </w:p>
    <w:p w:rsidR="00513CBB" w:rsidRDefault="00257C73" w:rsidP="00513CBB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lastRenderedPageBreak/>
        <w:t>Расчет сил и средств для тушения пожара.</w:t>
      </w:r>
    </w:p>
    <w:p w:rsidR="00513CBB" w:rsidRDefault="00257C73" w:rsidP="00513CBB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Соглашения (инструкции) по взаимодействию с аварийно-восстановительными подразделениями других ведомств.</w:t>
      </w:r>
    </w:p>
    <w:p w:rsidR="00513CBB" w:rsidRDefault="00257C73" w:rsidP="00513CBB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Сводные данные по расчету сил и средств при каждом варианте тушения пожара.</w:t>
      </w:r>
    </w:p>
    <w:p w:rsidR="00257C73" w:rsidRPr="00513CBB" w:rsidRDefault="00257C73" w:rsidP="00513CBB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Необходимые справочные материалы, имеющие отношение к развитию и тушению пожара, ведению спасательных работ.</w:t>
      </w:r>
    </w:p>
    <w:p w:rsidR="00257C73" w:rsidRPr="00176DFC" w:rsidRDefault="00257C73" w:rsidP="00513CBB">
      <w:pPr>
        <w:jc w:val="both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176DFC">
      <w:pPr>
        <w:pStyle w:val="Heading"/>
        <w:numPr>
          <w:ilvl w:val="2"/>
          <w:numId w:val="1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Основные указания по составлению графической части плана пожаротушения 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3CBB" w:rsidRDefault="00257C73" w:rsidP="00513CBB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Графическая часть должна быть наглядной, включать максимум необходимых сведений и не перегружаться второстепенными деталями.</w:t>
      </w:r>
    </w:p>
    <w:p w:rsidR="00513CBB" w:rsidRDefault="00257C73" w:rsidP="00513CBB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Графическая часть планов пожаротушения должна состоять из двух схем. Для тоннелей, имеющих механическую вентиляцию, составляется схема №</w:t>
      </w:r>
      <w:r w:rsidR="00513CBB">
        <w:rPr>
          <w:rFonts w:ascii="Times New Roman" w:hAnsi="Times New Roman"/>
          <w:sz w:val="28"/>
          <w:szCs w:val="28"/>
        </w:rPr>
        <w:t> </w:t>
      </w:r>
      <w:r w:rsidRPr="00513CBB">
        <w:rPr>
          <w:rFonts w:ascii="Times New Roman" w:hAnsi="Times New Roman"/>
          <w:sz w:val="28"/>
          <w:szCs w:val="28"/>
        </w:rPr>
        <w:t>3.</w:t>
      </w:r>
    </w:p>
    <w:p w:rsidR="00257C73" w:rsidRPr="00513CBB" w:rsidRDefault="00257C73" w:rsidP="00513CBB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>На схеме № 1 должны быть отмечены: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план-схема тоннеля в масштабе на местности с расстановкой сил и средств;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расположение штаба аварийно-спасательных работ и штаба пожаротушения;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места сосредоточения пожарной и другой техники, резерва личного состава и огнетушащих веществ;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расположение и расстояния до ближайших водоисточников. 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При необходимости схема № 1 составляется на двух листах для каждого портала.</w:t>
      </w:r>
    </w:p>
    <w:p w:rsidR="00257C73" w:rsidRPr="00176DFC" w:rsidRDefault="00257C73" w:rsidP="00513CBB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 схеме № 2 с обозначением пикетажа должны быть указаны: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тоннельные сооружения, места расположения сбоек, расположение вентиляционных шахт с точным указанием мест выхода их на поверхность;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места расположения пожарных кранов, средств связи, пожарно-технического оборудования;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уклон тоннеля и направление возможного растекания жидкости;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возможные пути эвакуации людей.</w:t>
      </w:r>
    </w:p>
    <w:p w:rsidR="00257C73" w:rsidRPr="00176DFC" w:rsidRDefault="00257C73" w:rsidP="00513CBB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На схеме № 3 приводятся аварийные вентиляционные режимы для рассмотренных вариантов пожара с указанием опасных (задымляемых) зон тоннеля.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176DFC">
      <w:pPr>
        <w:pStyle w:val="Heading"/>
        <w:numPr>
          <w:ilvl w:val="2"/>
          <w:numId w:val="1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Основные указания по расчету сил и средств на тушение 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3CBB" w:rsidRDefault="00257C73" w:rsidP="00513CBB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Расчет сил и средств производится при разработке планов пожаротушения на железнодорожные тоннели, составлении планов привлечения сил и средств.</w:t>
      </w:r>
    </w:p>
    <w:p w:rsidR="00257C73" w:rsidRPr="00513CBB" w:rsidRDefault="00257C73" w:rsidP="00513CBB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CBB">
        <w:rPr>
          <w:rFonts w:ascii="Times New Roman" w:hAnsi="Times New Roman"/>
          <w:sz w:val="28"/>
          <w:szCs w:val="28"/>
        </w:rPr>
        <w:t xml:space="preserve">Интенсивность подачи огнетущащих средств следует принимать в соответствии с руководящим документом </w:t>
      </w:r>
      <w:r w:rsidR="00513CBB">
        <w:rPr>
          <w:rFonts w:ascii="Times New Roman" w:hAnsi="Times New Roman"/>
          <w:sz w:val="28"/>
          <w:szCs w:val="28"/>
        </w:rPr>
        <w:t>«</w:t>
      </w:r>
      <w:r w:rsidRPr="00513CBB">
        <w:rPr>
          <w:rFonts w:ascii="Times New Roman" w:hAnsi="Times New Roman"/>
          <w:sz w:val="28"/>
          <w:szCs w:val="28"/>
        </w:rPr>
        <w:t>Организация и тактика тушения пожаров в подвижном составе железнодорожного транспорта (Рекомендации)</w:t>
      </w:r>
      <w:r w:rsidR="00513CBB">
        <w:rPr>
          <w:rFonts w:ascii="Times New Roman" w:hAnsi="Times New Roman"/>
          <w:sz w:val="28"/>
          <w:szCs w:val="28"/>
        </w:rPr>
        <w:t>»</w:t>
      </w:r>
      <w:r w:rsidRPr="00513CBB">
        <w:rPr>
          <w:rFonts w:ascii="Times New Roman" w:hAnsi="Times New Roman"/>
          <w:sz w:val="28"/>
          <w:szCs w:val="28"/>
        </w:rPr>
        <w:t xml:space="preserve"> (М.: ГУПО МВД СССР, ВНИИПО, 1987). Планирование продолжительности боевых действий подразделений и допустимого пребывания в непригодной для </w:t>
      </w:r>
      <w:r w:rsidRPr="00513CBB">
        <w:rPr>
          <w:rFonts w:ascii="Times New Roman" w:hAnsi="Times New Roman"/>
          <w:sz w:val="28"/>
          <w:szCs w:val="28"/>
        </w:rPr>
        <w:lastRenderedPageBreak/>
        <w:t>дыхания среде отделений и звеньев ГДЗС рекомендуется проводить на основании данных, приведенных в табл. 2 и 3.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176DFC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Таблица 2</w:t>
      </w:r>
    </w:p>
    <w:p w:rsidR="00257C73" w:rsidRPr="00176DFC" w:rsidRDefault="00257C73" w:rsidP="00176DFC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513CBB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Параметры боевого развертывания и выполнения других видов работ</w:t>
      </w:r>
      <w:r w:rsidR="00513CBB">
        <w:rPr>
          <w:rFonts w:ascii="Times New Roman" w:hAnsi="Times New Roman"/>
          <w:sz w:val="28"/>
          <w:szCs w:val="28"/>
        </w:rPr>
        <w:t xml:space="preserve"> </w:t>
      </w:r>
      <w:r w:rsidRPr="00176DFC">
        <w:rPr>
          <w:rFonts w:ascii="Times New Roman" w:hAnsi="Times New Roman"/>
          <w:sz w:val="28"/>
          <w:szCs w:val="28"/>
        </w:rPr>
        <w:t xml:space="preserve">подразделениями пожарной охраны при тушении пожаров в тоннельных сооружениях 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111"/>
        <w:gridCol w:w="2552"/>
        <w:gridCol w:w="3260"/>
      </w:tblGrid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Виды боевой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Параметр боевой работы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Значение параметра, м·мин</w:t>
            </w:r>
            <w:r w:rsidR="00935B12">
              <w:rPr>
                <w:rFonts w:ascii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61925" cy="1905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Боевое развертывание в тоннельных сооружениях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Скорость боевого развертывания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Боевое развертывание в тоннельных сооружениях через ствол вентиляционной шахты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Скорость боевого развертывания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Передвижение звена ГДЗС (4 чел.) по тоннелю в КИП при переносе пострадавшего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Скорость передвижения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Передвижение по тоннелю со скаткой рукавов диаметром 77 мм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Скорость передвижения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Передвижение по путевым тоннелям без нагрузки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Скорость передвижения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55-60</w:t>
            </w:r>
          </w:p>
        </w:tc>
      </w:tr>
    </w:tbl>
    <w:p w:rsidR="00257C73" w:rsidRPr="00176DFC" w:rsidRDefault="00257C73" w:rsidP="00176DFC">
      <w:pPr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257C73" w:rsidRPr="00176DFC" w:rsidRDefault="00257C73" w:rsidP="00176DFC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Таблица 3</w:t>
      </w:r>
    </w:p>
    <w:p w:rsidR="00257C73" w:rsidRPr="00176DFC" w:rsidRDefault="00257C73" w:rsidP="00176DFC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513CBB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Расходы кислорода отделениями и звеньями ГДЗС при боевой работе в тоннельных сооружениях </w:t>
      </w:r>
    </w:p>
    <w:p w:rsidR="00257C73" w:rsidRPr="00176DFC" w:rsidRDefault="00257C73" w:rsidP="00513CB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946"/>
        <w:gridCol w:w="2977"/>
      </w:tblGrid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946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Вид боевой работы</w:t>
            </w:r>
          </w:p>
        </w:tc>
        <w:tc>
          <w:tcPr>
            <w:tcW w:w="2977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Расходы кислорода, л·мин</w:t>
            </w:r>
            <w:r w:rsidR="00935B12">
              <w:rPr>
                <w:rFonts w:ascii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61925" cy="1905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946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Работа со стволами</w:t>
            </w:r>
          </w:p>
        </w:tc>
        <w:tc>
          <w:tcPr>
            <w:tcW w:w="2977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946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 xml:space="preserve">Передвижение по тоннелю с рукавом </w:t>
            </w:r>
            <w:r w:rsidR="00513CBB">
              <w:rPr>
                <w:rFonts w:ascii="Times New Roman" w:hAnsi="Times New Roman"/>
                <w:sz w:val="28"/>
                <w:szCs w:val="28"/>
              </w:rPr>
              <w:t>«</w:t>
            </w:r>
            <w:r w:rsidRPr="00176DFC">
              <w:rPr>
                <w:rFonts w:ascii="Times New Roman" w:hAnsi="Times New Roman"/>
                <w:sz w:val="28"/>
                <w:szCs w:val="28"/>
              </w:rPr>
              <w:t>А</w:t>
            </w:r>
            <w:r w:rsidR="00513CBB">
              <w:rPr>
                <w:rFonts w:ascii="Times New Roman" w:hAnsi="Times New Roman"/>
                <w:sz w:val="28"/>
                <w:szCs w:val="28"/>
              </w:rPr>
              <w:t>»</w:t>
            </w:r>
            <w:r w:rsidRPr="00176DFC">
              <w:rPr>
                <w:rFonts w:ascii="Times New Roman" w:hAnsi="Times New Roman"/>
                <w:sz w:val="28"/>
                <w:szCs w:val="28"/>
              </w:rPr>
              <w:t xml:space="preserve"> в скатке</w:t>
            </w:r>
          </w:p>
        </w:tc>
        <w:tc>
          <w:tcPr>
            <w:tcW w:w="2977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946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Передвижение по тоннелю без нагрузки</w:t>
            </w:r>
          </w:p>
        </w:tc>
        <w:tc>
          <w:tcPr>
            <w:tcW w:w="2977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946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Передвижение по тоннелю звена ГДЗС (4 чел.) с пострадавшим</w:t>
            </w:r>
          </w:p>
        </w:tc>
        <w:tc>
          <w:tcPr>
            <w:tcW w:w="2977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257C73" w:rsidRPr="00176DFC" w:rsidTr="00513CB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946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Боевое развертывание в тоннеле</w:t>
            </w:r>
          </w:p>
        </w:tc>
        <w:tc>
          <w:tcPr>
            <w:tcW w:w="2977" w:type="dxa"/>
            <w:vAlign w:val="center"/>
          </w:tcPr>
          <w:p w:rsidR="00257C73" w:rsidRPr="00176DFC" w:rsidRDefault="00257C73" w:rsidP="00513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DFC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</w:tbl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176DFC" w:rsidRDefault="00257C73" w:rsidP="00513CBB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Расчет сил и средств производится согласно общепринятой методике. При его выполнении следует учитывать следующие особенности: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 xml:space="preserve">в условиях задымления скорость передвижения уменьшается на 30%, скорость боевого развертывания </w:t>
      </w:r>
      <w:r w:rsidR="00513CBB">
        <w:rPr>
          <w:rFonts w:ascii="Times New Roman" w:hAnsi="Times New Roman"/>
          <w:sz w:val="28"/>
          <w:szCs w:val="28"/>
        </w:rPr>
        <w:t>–</w:t>
      </w:r>
      <w:r w:rsidRPr="00176DFC">
        <w:rPr>
          <w:rFonts w:ascii="Times New Roman" w:hAnsi="Times New Roman"/>
          <w:sz w:val="28"/>
          <w:szCs w:val="28"/>
        </w:rPr>
        <w:t xml:space="preserve"> на 50%;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lastRenderedPageBreak/>
        <w:t>число подаваемых стволов на тушение и защиту определяется фронтом тушения, а также возможными путями проникновения к зоне горения (через сбойки из штольни или параллельно тоннелю);</w:t>
      </w:r>
    </w:p>
    <w:p w:rsidR="00257C73" w:rsidRPr="00176DFC" w:rsidRDefault="00257C73" w:rsidP="00176D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при определении фактического расхода воды следует учитывать расход воды на защиту конструкций тоннеля, вагонов и ствольщиков.</w:t>
      </w:r>
    </w:p>
    <w:p w:rsidR="00257C73" w:rsidRPr="00176DFC" w:rsidRDefault="00257C73" w:rsidP="00AF3798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6DFC">
        <w:rPr>
          <w:rFonts w:ascii="Times New Roman" w:hAnsi="Times New Roman"/>
          <w:sz w:val="28"/>
          <w:szCs w:val="28"/>
        </w:rPr>
        <w:t>Необходимое количество отделений ГДЗС определяется по формулам:</w:t>
      </w:r>
    </w:p>
    <w:p w:rsidR="00257C73" w:rsidRPr="00AF3798" w:rsidRDefault="00257C73">
      <w:pPr>
        <w:ind w:firstLine="225"/>
        <w:jc w:val="both"/>
        <w:rPr>
          <w:rFonts w:ascii="Times New Roman" w:hAnsi="Times New Roman"/>
          <w:sz w:val="28"/>
        </w:rPr>
      </w:pPr>
    </w:p>
    <w:p w:rsidR="00257C73" w:rsidRPr="00AF3798" w:rsidRDefault="00935B1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position w:val="-10"/>
          <w:sz w:val="28"/>
        </w:rPr>
        <w:drawing>
          <wp:inline distT="0" distB="0" distL="0" distR="0">
            <wp:extent cx="1371600" cy="304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C73" w:rsidRPr="00AF3798">
        <w:rPr>
          <w:rFonts w:ascii="Times New Roman" w:hAnsi="Times New Roman"/>
          <w:sz w:val="28"/>
        </w:rPr>
        <w:t>(для тушения и защиты),</w:t>
      </w:r>
    </w:p>
    <w:p w:rsidR="00257C73" w:rsidRPr="00AF3798" w:rsidRDefault="00257C73">
      <w:pPr>
        <w:ind w:firstLine="225"/>
        <w:jc w:val="both"/>
        <w:rPr>
          <w:rFonts w:ascii="Times New Roman" w:hAnsi="Times New Roman"/>
          <w:sz w:val="28"/>
        </w:rPr>
      </w:pP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</w:rPr>
        <w:t xml:space="preserve">где </w:t>
      </w:r>
      <w:r w:rsidR="00935B12">
        <w:rPr>
          <w:rFonts w:ascii="Times New Roman" w:hAnsi="Times New Roman"/>
          <w:noProof/>
          <w:position w:val="-10"/>
          <w:sz w:val="28"/>
        </w:rPr>
        <w:drawing>
          <wp:inline distT="0" distB="0" distL="0" distR="0">
            <wp:extent cx="390525" cy="3238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</w:rPr>
        <w:t xml:space="preserve"> </w:t>
      </w:r>
      <w:r w:rsidR="00AF3798">
        <w:rPr>
          <w:rFonts w:ascii="Times New Roman" w:hAnsi="Times New Roman"/>
          <w:sz w:val="28"/>
        </w:rPr>
        <w:sym w:font="Symbol" w:char="F02D"/>
      </w:r>
      <w:r w:rsidRPr="00AF3798">
        <w:rPr>
          <w:rFonts w:ascii="Times New Roman" w:hAnsi="Times New Roman"/>
          <w:sz w:val="28"/>
        </w:rPr>
        <w:t xml:space="preserve"> общее количество стволов на тушение и защиту, включающее в себя число стволов, поданных на тушение, защиту конструкций тоннеля и вагонов, защиту </w:t>
      </w:r>
      <w:r w:rsidRPr="00AF3798">
        <w:rPr>
          <w:rFonts w:ascii="Times New Roman" w:hAnsi="Times New Roman"/>
          <w:sz w:val="28"/>
          <w:szCs w:val="28"/>
        </w:rPr>
        <w:t xml:space="preserve">ствольщиков, шт.;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523875" cy="333375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количество стволов, обеспечиваемое отделением, шт.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AF3798" w:rsidRDefault="00935B12" w:rsidP="00AF379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3"/>
          <w:sz w:val="28"/>
          <w:szCs w:val="28"/>
        </w:rPr>
        <w:drawing>
          <wp:inline distT="0" distB="0" distL="0" distR="0">
            <wp:extent cx="1295400" cy="285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C73" w:rsidRPr="00AF3798">
        <w:rPr>
          <w:rFonts w:ascii="Times New Roman" w:hAnsi="Times New Roman"/>
          <w:sz w:val="28"/>
          <w:szCs w:val="28"/>
        </w:rPr>
        <w:t xml:space="preserve"> (для спасательных работ),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 xml:space="preserve">где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323850" cy="2571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число разведывательно-спасательных групп (РСГ), направляемых в аварийный тоннель. В РСГ должно входить не менее 2 звеньев ГДЗС;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314325" cy="285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число РСГ, направляемых с других направлений (со вспомогательного в параллельный тоннель или штольню).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>Общее количество отделений ГДЗС определяется: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AF3798" w:rsidRDefault="00935B12" w:rsidP="00AF379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3"/>
          <w:sz w:val="28"/>
          <w:szCs w:val="28"/>
        </w:rPr>
        <w:drawing>
          <wp:inline distT="0" distB="0" distL="0" distR="0">
            <wp:extent cx="2066925" cy="2762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C73" w:rsidRPr="00AF3798">
        <w:rPr>
          <w:rFonts w:ascii="Times New Roman" w:hAnsi="Times New Roman"/>
          <w:sz w:val="28"/>
          <w:szCs w:val="28"/>
        </w:rPr>
        <w:t>,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 xml:space="preserve">где </w:t>
      </w:r>
      <w:r w:rsidR="00935B12">
        <w:rPr>
          <w:rFonts w:ascii="Times New Roman" w:hAnsi="Times New Roman"/>
          <w:noProof/>
          <w:position w:val="-13"/>
          <w:sz w:val="28"/>
          <w:szCs w:val="28"/>
        </w:rPr>
        <w:drawing>
          <wp:inline distT="0" distB="0" distL="0" distR="0">
            <wp:extent cx="447675" cy="285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количество отделений, находящихся в резерве (не менее одного отделения для работ по тушению и для работ по спасанию с каждого направления).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C73" w:rsidRPr="00AF3798" w:rsidRDefault="00257C73" w:rsidP="00AF3798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>Особенности расчета параметров работы газодымозащитной службы.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 xml:space="preserve">При расчете параметров работы ГДЗС следует руководствоваться </w:t>
      </w:r>
      <w:r w:rsidR="00AF3798">
        <w:rPr>
          <w:rFonts w:ascii="Times New Roman" w:hAnsi="Times New Roman"/>
          <w:sz w:val="28"/>
          <w:szCs w:val="28"/>
        </w:rPr>
        <w:t>«</w:t>
      </w:r>
      <w:r w:rsidRPr="00AF3798">
        <w:rPr>
          <w:rFonts w:ascii="Times New Roman" w:hAnsi="Times New Roman"/>
          <w:sz w:val="28"/>
          <w:szCs w:val="28"/>
        </w:rPr>
        <w:t>Наставлением по газодымозащитной службе пожарной охраны</w:t>
      </w:r>
      <w:r w:rsidR="00AF3798">
        <w:rPr>
          <w:rFonts w:ascii="Times New Roman" w:hAnsi="Times New Roman"/>
          <w:sz w:val="28"/>
          <w:szCs w:val="28"/>
        </w:rPr>
        <w:t>»</w:t>
      </w:r>
      <w:r w:rsidRPr="00AF3798">
        <w:rPr>
          <w:rFonts w:ascii="Times New Roman" w:hAnsi="Times New Roman"/>
          <w:sz w:val="28"/>
          <w:szCs w:val="28"/>
        </w:rPr>
        <w:t xml:space="preserve"> (М.: МВД СССР, 1988), при этом необходимо учитывать следующие особенности: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>при работе в железнодорожных тоннелях запас кислорода на обратный путь должен быть увеличен не менее чем в два раза;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>для определения примерного времени работы, ожидаемого времени возвращения звена из задымленной зоны расход кислорода следует принимать 3</w:t>
      </w:r>
      <w:r w:rsidR="00AF3798">
        <w:rPr>
          <w:rFonts w:ascii="Times New Roman" w:hAnsi="Times New Roman"/>
          <w:sz w:val="28"/>
          <w:szCs w:val="28"/>
        </w:rPr>
        <w:t> </w:t>
      </w:r>
      <w:r w:rsidRPr="00AF3798">
        <w:rPr>
          <w:rFonts w:ascii="Times New Roman" w:hAnsi="Times New Roman"/>
          <w:sz w:val="28"/>
          <w:szCs w:val="28"/>
        </w:rPr>
        <w:t>л·мин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>;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 xml:space="preserve">максимальное расстояние в тоннеле, на которое возможно проникновение звена ГДЗС в ИП-4 при проведении работ средней нагрузки (разведка пожара), составляет 700 м, а при проведении спасательных работ (возвращение с пострадавшим) </w:t>
      </w:r>
      <w:r w:rsidR="00AF3798">
        <w:rPr>
          <w:rFonts w:ascii="Times New Roman" w:hAnsi="Times New Roman"/>
          <w:sz w:val="28"/>
          <w:szCs w:val="28"/>
        </w:rPr>
        <w:t>–</w:t>
      </w:r>
      <w:r w:rsidRPr="00AF3798">
        <w:rPr>
          <w:rFonts w:ascii="Times New Roman" w:hAnsi="Times New Roman"/>
          <w:sz w:val="28"/>
          <w:szCs w:val="28"/>
        </w:rPr>
        <w:t xml:space="preserve"> 300 м;</w:t>
      </w: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lastRenderedPageBreak/>
        <w:t>максимальное расстояние в тоннеле, на которое возможно проникновение звена ГДЗС в кислородно-изолирующих противогазах и возвращение без замены кислородных баллонов, определяется из приведенных ниже выражений:</w:t>
      </w:r>
    </w:p>
    <w:p w:rsidR="00257C73" w:rsidRPr="00AF3798" w:rsidRDefault="00257C73" w:rsidP="00AF379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7C73" w:rsidRDefault="00935B12" w:rsidP="00AF379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48"/>
          <w:sz w:val="28"/>
          <w:szCs w:val="28"/>
        </w:rPr>
        <w:drawing>
          <wp:inline distT="0" distB="0" distL="0" distR="0">
            <wp:extent cx="1371600" cy="7524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798">
        <w:rPr>
          <w:rFonts w:ascii="Times New Roman" w:hAnsi="Times New Roman"/>
          <w:position w:val="-48"/>
          <w:sz w:val="28"/>
          <w:szCs w:val="28"/>
        </w:rPr>
        <w:t xml:space="preserve">   </w:t>
      </w:r>
      <w:r w:rsidR="00257C73" w:rsidRPr="00AF3798">
        <w:rPr>
          <w:rFonts w:ascii="Times New Roman" w:hAnsi="Times New Roman"/>
          <w:sz w:val="28"/>
          <w:szCs w:val="28"/>
        </w:rPr>
        <w:t xml:space="preserve"> (при проведении разведки),</w:t>
      </w:r>
    </w:p>
    <w:p w:rsidR="00AF3798" w:rsidRPr="00AF3798" w:rsidRDefault="00AF3798" w:rsidP="00AF379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7C73" w:rsidRPr="00AF3798" w:rsidRDefault="00AF3798" w:rsidP="00AF379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66"/>
          <w:sz w:val="28"/>
          <w:szCs w:val="28"/>
        </w:rPr>
        <w:t xml:space="preserve"> </w:t>
      </w:r>
      <w:r w:rsidR="00935B12">
        <w:rPr>
          <w:rFonts w:ascii="Times New Roman" w:hAnsi="Times New Roman"/>
          <w:noProof/>
          <w:position w:val="-66"/>
          <w:sz w:val="28"/>
          <w:szCs w:val="28"/>
        </w:rPr>
        <w:drawing>
          <wp:inline distT="0" distB="0" distL="0" distR="0">
            <wp:extent cx="1781175" cy="8286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66"/>
          <w:sz w:val="28"/>
          <w:szCs w:val="28"/>
        </w:rPr>
        <w:t xml:space="preserve">    </w:t>
      </w:r>
      <w:r w:rsidR="00257C73" w:rsidRPr="00AF3798">
        <w:rPr>
          <w:rFonts w:ascii="Times New Roman" w:hAnsi="Times New Roman"/>
          <w:sz w:val="28"/>
          <w:szCs w:val="28"/>
        </w:rPr>
        <w:t>(при возвращении с пострадавшим),</w:t>
      </w:r>
    </w:p>
    <w:p w:rsidR="00257C73" w:rsidRPr="00AF3798" w:rsidRDefault="00257C73" w:rsidP="00AF379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7C73" w:rsidRPr="00AF3798" w:rsidRDefault="00257C73" w:rsidP="00AF37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 xml:space="preserve">где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238125" cy="2667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начальное давление кислорода в баллоне, кгс·см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; </w:t>
      </w:r>
      <w:r w:rsidR="00935B12">
        <w:rPr>
          <w:rFonts w:ascii="Times New Roman" w:hAnsi="Times New Roman"/>
          <w:noProof/>
          <w:position w:val="-13"/>
          <w:sz w:val="28"/>
          <w:szCs w:val="28"/>
        </w:rPr>
        <w:drawing>
          <wp:inline distT="0" distB="0" distL="0" distR="0">
            <wp:extent cx="276225" cy="2857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остаточное давление в баллоне, необходимое для работы редуктора, кгс·см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266700" cy="2952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атмосферное давление, равное 1 кгс·см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247650" cy="247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объем баллона с кислородом, л;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285750" cy="2571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расход кислорода при движении по тоннелю, л-мин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295275" cy="2952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расход кислорода при переносе пострадавшего в тоннеле, л·мин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314325" cy="29527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скорость передвижения по тоннелю, м·мин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; </w:t>
      </w:r>
      <w:r w:rsidR="00935B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323850" cy="3143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 xml:space="preserve"> </w:t>
      </w:r>
      <w:r w:rsidR="00AF3798">
        <w:rPr>
          <w:rFonts w:ascii="Times New Roman" w:hAnsi="Times New Roman"/>
          <w:sz w:val="28"/>
          <w:szCs w:val="28"/>
        </w:rPr>
        <w:sym w:font="Symbol" w:char="F02D"/>
      </w:r>
      <w:r w:rsidRPr="00AF3798">
        <w:rPr>
          <w:rFonts w:ascii="Times New Roman" w:hAnsi="Times New Roman"/>
          <w:sz w:val="28"/>
          <w:szCs w:val="28"/>
        </w:rPr>
        <w:t xml:space="preserve"> скорость передвижения с пострадавшим в тоннеле, м·мин</w:t>
      </w:r>
      <w:r w:rsidR="00935B12"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61925" cy="1905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8">
        <w:rPr>
          <w:rFonts w:ascii="Times New Roman" w:hAnsi="Times New Roman"/>
          <w:sz w:val="28"/>
          <w:szCs w:val="28"/>
        </w:rPr>
        <w:t>.</w:t>
      </w:r>
      <w:r w:rsidR="00776526" w:rsidRPr="00AF3798">
        <w:rPr>
          <w:rFonts w:ascii="Times New Roman" w:hAnsi="Times New Roman"/>
          <w:sz w:val="28"/>
          <w:szCs w:val="28"/>
        </w:rPr>
        <w:t xml:space="preserve"> </w:t>
      </w:r>
    </w:p>
    <w:p w:rsidR="00257C73" w:rsidRPr="00AF3798" w:rsidRDefault="00257C73" w:rsidP="00AF3798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798">
        <w:rPr>
          <w:rFonts w:ascii="Times New Roman" w:hAnsi="Times New Roman"/>
          <w:sz w:val="28"/>
          <w:szCs w:val="28"/>
        </w:rPr>
        <w:t>При определении общего количества необходимых сил и средств следует учитывать личный состав, обеспечивающий работу тыла.</w:t>
      </w:r>
    </w:p>
    <w:sectPr w:rsidR="00257C73" w:rsidRPr="00AF3798" w:rsidSect="0031002B">
      <w:pgSz w:w="11906" w:h="16838" w:code="9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155"/>
    <w:multiLevelType w:val="hybridMultilevel"/>
    <w:tmpl w:val="84647746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33474B"/>
    <w:multiLevelType w:val="multilevel"/>
    <w:tmpl w:val="C1F09906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1410662B"/>
    <w:multiLevelType w:val="hybridMultilevel"/>
    <w:tmpl w:val="7F569EFA"/>
    <w:lvl w:ilvl="0" w:tplc="B644E89E">
      <w:start w:val="1"/>
      <w:numFmt w:val="decimal"/>
      <w:lvlText w:val="3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49583C"/>
    <w:multiLevelType w:val="hybridMultilevel"/>
    <w:tmpl w:val="E49CE728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32AAED8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8F8A2F62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F276B9"/>
    <w:multiLevelType w:val="hybridMultilevel"/>
    <w:tmpl w:val="A072B9BA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F318A396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B1F7BDA"/>
    <w:multiLevelType w:val="hybridMultilevel"/>
    <w:tmpl w:val="3942E97A"/>
    <w:lvl w:ilvl="0" w:tplc="6C40675A">
      <w:start w:val="1"/>
      <w:numFmt w:val="decimal"/>
      <w:lvlText w:val="2.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>
    <w:nsid w:val="2CDB7E40"/>
    <w:multiLevelType w:val="hybridMultilevel"/>
    <w:tmpl w:val="61660542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7098CF92">
      <w:start w:val="1"/>
      <w:numFmt w:val="decimal"/>
      <w:lvlText w:val="%3."/>
      <w:lvlJc w:val="center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374281"/>
    <w:multiLevelType w:val="hybridMultilevel"/>
    <w:tmpl w:val="3CD40AC6"/>
    <w:lvl w:ilvl="0" w:tplc="32AAED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32AAED8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FC13B3"/>
    <w:multiLevelType w:val="multilevel"/>
    <w:tmpl w:val="BC3E120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2655D00"/>
    <w:multiLevelType w:val="multilevel"/>
    <w:tmpl w:val="779AD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3204175"/>
    <w:multiLevelType w:val="hybridMultilevel"/>
    <w:tmpl w:val="97D2FE42"/>
    <w:lvl w:ilvl="0" w:tplc="216A5664">
      <w:start w:val="1"/>
      <w:numFmt w:val="decimal"/>
      <w:lvlText w:val="4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85B692B"/>
    <w:multiLevelType w:val="multilevel"/>
    <w:tmpl w:val="779AD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87B4171"/>
    <w:multiLevelType w:val="hybridMultilevel"/>
    <w:tmpl w:val="3BB6003A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5680D8EE">
      <w:start w:val="1"/>
      <w:numFmt w:val="decimal"/>
      <w:lvlText w:val="5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8A91904"/>
    <w:multiLevelType w:val="hybridMultilevel"/>
    <w:tmpl w:val="6A06F948"/>
    <w:lvl w:ilvl="0" w:tplc="6C40675A">
      <w:start w:val="1"/>
      <w:numFmt w:val="decimal"/>
      <w:lvlText w:val="2.%1."/>
      <w:lvlJc w:val="left"/>
      <w:pPr>
        <w:ind w:left="945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166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>
    <w:nsid w:val="5BD7114F"/>
    <w:multiLevelType w:val="hybridMultilevel"/>
    <w:tmpl w:val="CFAED14E"/>
    <w:lvl w:ilvl="0" w:tplc="576EB2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78F21C5"/>
    <w:multiLevelType w:val="hybridMultilevel"/>
    <w:tmpl w:val="9896540C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7A65E2A"/>
    <w:multiLevelType w:val="hybridMultilevel"/>
    <w:tmpl w:val="CFAECCE8"/>
    <w:lvl w:ilvl="0" w:tplc="8B888C02">
      <w:start w:val="1"/>
      <w:numFmt w:val="decimal"/>
      <w:lvlText w:val="4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790406B0">
      <w:start w:val="1"/>
      <w:numFmt w:val="decimal"/>
      <w:lvlText w:val="4.1.%3."/>
      <w:lvlJc w:val="left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BCE5FE3"/>
    <w:multiLevelType w:val="hybridMultilevel"/>
    <w:tmpl w:val="9E384118"/>
    <w:lvl w:ilvl="0" w:tplc="684EEB2E">
      <w:start w:val="1"/>
      <w:numFmt w:val="decimal"/>
      <w:lvlText w:val="1.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8">
    <w:nsid w:val="7E1551E5"/>
    <w:multiLevelType w:val="hybridMultilevel"/>
    <w:tmpl w:val="4EA0B812"/>
    <w:lvl w:ilvl="0" w:tplc="5C768E86">
      <w:start w:val="1"/>
      <w:numFmt w:val="decimal"/>
      <w:lvlText w:val="2.2.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9"/>
  </w:num>
  <w:num w:numId="5">
    <w:abstractNumId w:val="18"/>
  </w:num>
  <w:num w:numId="6">
    <w:abstractNumId w:val="4"/>
  </w:num>
  <w:num w:numId="7">
    <w:abstractNumId w:val="2"/>
  </w:num>
  <w:num w:numId="8">
    <w:abstractNumId w:val="3"/>
  </w:num>
  <w:num w:numId="9">
    <w:abstractNumId w:val="16"/>
  </w:num>
  <w:num w:numId="10">
    <w:abstractNumId w:val="10"/>
  </w:num>
  <w:num w:numId="11">
    <w:abstractNumId w:val="1"/>
  </w:num>
  <w:num w:numId="12">
    <w:abstractNumId w:val="14"/>
  </w:num>
  <w:num w:numId="13">
    <w:abstractNumId w:val="6"/>
  </w:num>
  <w:num w:numId="14">
    <w:abstractNumId w:val="0"/>
  </w:num>
  <w:num w:numId="15">
    <w:abstractNumId w:val="8"/>
  </w:num>
  <w:num w:numId="16">
    <w:abstractNumId w:val="5"/>
  </w:num>
  <w:num w:numId="17">
    <w:abstractNumId w:val="15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8E"/>
    <w:rsid w:val="00176DFC"/>
    <w:rsid w:val="00190B16"/>
    <w:rsid w:val="001F4D4A"/>
    <w:rsid w:val="00257C73"/>
    <w:rsid w:val="0031002B"/>
    <w:rsid w:val="003C49D3"/>
    <w:rsid w:val="00513CBB"/>
    <w:rsid w:val="00570D8E"/>
    <w:rsid w:val="00776526"/>
    <w:rsid w:val="007B2477"/>
    <w:rsid w:val="00935B12"/>
    <w:rsid w:val="00AF3798"/>
    <w:rsid w:val="00DC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image" Target="media/image11.png"/><Relationship Id="rId26" Type="http://schemas.openxmlformats.org/officeDocument/2006/relationships/image" Target="media/image18.wmf"/><Relationship Id="rId39" Type="http://schemas.openxmlformats.org/officeDocument/2006/relationships/image" Target="media/image31.wmf"/><Relationship Id="rId3" Type="http://schemas.microsoft.com/office/2007/relationships/stylesWithEffects" Target="stylesWithEffects.xml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17" Type="http://schemas.openxmlformats.org/officeDocument/2006/relationships/image" Target="media/image10.png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21.wmf"/><Relationship Id="rId41" Type="http://schemas.openxmlformats.org/officeDocument/2006/relationships/image" Target="media/image3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5264</Words>
  <Characters>30007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1" baseType="lpstr">
      <vt:lpstr/>
    </vt:vector>
  </TitlesOfParts>
  <LinksUpToDate>false</LinksUpToDate>
  <CharactersWithSpaces>35201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2017-01-22T03:27:00Z</dcterms:created>
  <dcterms:modified xsi:type="dcterms:W3CDTF">2017-01-22T03:27:00Z</dcterms:modified>
</cp:coreProperties>
</file>