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F72E55" w:rsidP="00F72E5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20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07E34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DE4FE7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F72E5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F72E55">
              <w:rPr>
                <w:b w:val="0"/>
                <w:sz w:val="28"/>
                <w:szCs w:val="28"/>
                <w:u w:val="single"/>
              </w:rPr>
              <w:t>120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F72E55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F72E55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Положения 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DE4FE7" w:rsidRPr="00DE4FE7" w:rsidRDefault="00DE4FE7" w:rsidP="00F72E55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6"/>
        </w:rPr>
      </w:pP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(в ред. приказов МЧС России 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от 20.11.2017 </w:t>
      </w:r>
      <w:r w:rsid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>№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 531</w:t>
      </w:r>
      <w:r w:rsid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, 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от 06.07.2020 </w:t>
      </w:r>
      <w:r w:rsid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>№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 484</w:t>
      </w:r>
      <w:r w:rsid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>, от 17.05.2021 № 320</w:t>
      </w: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>)</w:t>
      </w: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F72E55" w:rsidP="003D5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и Указом Президента Российской Федерации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br/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от 1 июля 2010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821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974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CC0031" w:rsidRDefault="00CC0031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E55" w:rsidRDefault="00F72E55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E55" w:rsidRDefault="00F72E55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FB3" w:rsidRDefault="00215BBF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</w:r>
      <w:r w:rsidR="00F72E55">
        <w:rPr>
          <w:rFonts w:ascii="Times New Roman" w:eastAsia="Times New Roman" w:hAnsi="Times New Roman" w:cs="Times New Roman"/>
          <w:sz w:val="28"/>
          <w:szCs w:val="28"/>
        </w:rPr>
        <w:tab/>
        <w:t xml:space="preserve">   В.А. Пучков</w:t>
      </w:r>
    </w:p>
    <w:p w:rsidR="003D58FA" w:rsidRDefault="003D58FA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D58FA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3D58FA" w:rsidRDefault="00DE4FE7" w:rsidP="003D58F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D58FA" w:rsidRDefault="00DE4FE7" w:rsidP="003D58F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6D31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к </w:t>
      </w:r>
      <w:hyperlink r:id="rId9" w:history="1">
        <w:r w:rsidR="003D58FA" w:rsidRPr="00C76D3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Pr="00C76D3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3D58FA" w:rsidRPr="00C76D3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3D58FA" w:rsidRPr="00CC0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72E5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72E55">
        <w:rPr>
          <w:rFonts w:ascii="Times New Roman" w:eastAsia="Times New Roman" w:hAnsi="Times New Roman" w:cs="Times New Roman"/>
          <w:sz w:val="28"/>
          <w:szCs w:val="28"/>
        </w:rPr>
        <w:t>3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72E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72E55">
        <w:rPr>
          <w:rFonts w:ascii="Times New Roman" w:eastAsia="Times New Roman" w:hAnsi="Times New Roman" w:cs="Times New Roman"/>
          <w:sz w:val="28"/>
          <w:szCs w:val="28"/>
        </w:rPr>
        <w:t>120</w:t>
      </w:r>
    </w:p>
    <w:p w:rsidR="003D58FA" w:rsidRDefault="003D58FA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CC0031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CC0031" w:rsidRDefault="00CC0031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2E55" w:rsidRDefault="00F72E55" w:rsidP="00F7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3D58FA" w:rsidRPr="003D58FA" w:rsidRDefault="00F72E55" w:rsidP="00F7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b/>
          <w:sz w:val="28"/>
          <w:szCs w:val="28"/>
        </w:rPr>
        <w:t>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3D58FA" w:rsidRDefault="003D58FA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3608" w:rsidRPr="00483608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608">
        <w:rPr>
          <w:rFonts w:ascii="Times New Roman" w:eastAsia="Times New Roman" w:hAnsi="Times New Roman" w:cs="Times New Roman"/>
          <w:sz w:val="28"/>
          <w:szCs w:val="28"/>
        </w:rPr>
        <w:t xml:space="preserve">Настоящим Положением определяется порядок формирования и деятельности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и урегулированию конфликта интересов 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3608">
        <w:rPr>
          <w:rFonts w:ascii="Times New Roman" w:eastAsia="Times New Roman" w:hAnsi="Times New Roman" w:cs="Times New Roman"/>
          <w:sz w:val="28"/>
          <w:szCs w:val="28"/>
        </w:rPr>
        <w:t xml:space="preserve"> комиссия).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МЧС России) и настоящим Положением.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Основной задачей комиссии является содействие МЧС России: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в обеспечении соблюдения федеральными государственными служащими</w:t>
      </w:r>
      <w:r w:rsidR="0048360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483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в осуществлении в системе МЧС России мер по предупреждению коррупции.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должности государственной службы) в центральном аппарате МЧС России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МЧС России, организаций МЧС России центрального подчинения (за исключением государственных служащих,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замещающих должности руководителей и заместителей руководителей территориальных органов МЧС России, назначение на которые и освобождение от которых осуществляются Президентом Российской Федерации), рассматриваются комиссией.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МЧС России, назначение на которые и освобождение от которых осуществляются Президентом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Комиссия образуется приказом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Министр). Указанным актом утверждается состав комиссии.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назначаемый из числа членов комиссии, замещающих должности государственной службы в МЧС России,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3608" w:rsidRPr="00483608">
        <w:rPr>
          <w:rFonts w:ascii="Times New Roman" w:eastAsia="Times New Roman" w:hAnsi="Times New Roman" w:cs="Times New Roman"/>
          <w:sz w:val="28"/>
          <w:szCs w:val="28"/>
        </w:rPr>
        <w:t>заместитель Министра (председатель комиссии), руководитель структурного подразделения центрального аппарата, в основные задачи которого входит профилактика коррупционных и иных правонарушений (заместитель председателя комиссии), должностное лицо структурного подразделения центрального аппарата, в основные задачи которого входит профилактика коррупционных и иных правонарушений (секретарь комиссии), руководители (заместители руководителей) структурных подразделений центрального аппарата, иные должностные лица (члены комиссии), определяемые Министром;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представитель Управления Президента Российской Федерации по вопросам противодействия коррупции;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 состав комиссии могут также включаться: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 представители Общественного совета при МЧС России;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 представители Совета ветеранов МЧС России;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 представители профсоюзной организации МЧС России.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Лица, указанные в подпунктах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7 и в пункте 8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 при МЧС России, с Советом ветеранов МЧС России, с профсоюзной организацией МЧС России, на основании запроса Министра. Согласование осуществляется в 10-дневный срок со дня получения запроса.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Число членов комиссии, не замещающих должности государственной службы в МЧС России, должно составлять не менее одной четверти от общего числа членов комиссии.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непосредственный руководитель (заместитель руководителя)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МЧС России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другие государственные служащие, замещающие должности государственной службы в МЧС России;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МЧС России, недопустимо.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Министром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1065</w:t>
      </w:r>
      <w:r w:rsidR="0048360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, материалов проверки, свидетельствующих: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 представлении государственным служащим недостоверных или неполных сведений, предусмотренных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 названного Положения;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о представлении государственным служащим недостоверных или неполных сведений, предусмотренных частью 1 статьи 3 Федерального закона от 3 декабря 2012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230-ФЗ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8360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поступившее в установленном порядке в Департамент кадровой политики МЧС России: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обращение гражданина, замещавшего в МЧС России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уведомление коммерческой или некоммерческой организации о заключении с гражданином, замещавшим должность государственной службы в МЧС России,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МЧС России,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выполнить требования Федерального закона от 7 мая 2013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79-ФЗ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8360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территории Российской Федерации, владеть и (или) пользоваться иностранными финансовыми инструментами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представление Министра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МЧС России мер по предупреждению коррупции.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Материалы проверки, представляемые Министром в соответствии с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передаются в комиссию в течение 10 рабочих дней со дня ее завершения.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Материалы проверки включают в себя: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информацию, послужившую основанием для проведения проверки;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решение о проведении проверки;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копию направленного государственному служащему письма, в котором он уведомлен о начале проведения в отношении него проверки;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пояснения государственного служащего;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представленные государственным служащим дополнительные материалы;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копии запросов и ответы на них;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физических лиц, или справки о проведенных беседах;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доклад должностного лица, которому поручена организация проведения или проведение проверки, о ее результатах должностному лицу, принявшему решение о проведении проверки;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справку об ознакомлении государственного служащего с результатами проверки.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Подлинник справки о доходах, об имуществе и обязательствах имущественного характера представляется в комиссию соответствующим кадровым органом по решению Министра в соответствии с законодательством Российской Федерации.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72E55" w:rsidRPr="00F72E55" w:rsidRDefault="00F72E55" w:rsidP="0048360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В обращении, указанном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должна содержаться следующая информация: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В Департаменте кадровой политики МЧС России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Обращение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абзаце четвертом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рассматривается Департаментом кадровой политики МЧС России, которое осуществляет подготовку мотивированного заключения о соблюдении гражданином, замещавшим должность государственной службы в МЧС России, требований статьи 12 Федерального закона от 25 декабря 2008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абзаце шестом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рассматривается Департаментом кадровой политики МЧС России, которое осуществляет подготовку мотивированного заключения по результатам рассмотрения уведомления.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или уведомлений, указанных в абзаце четвертом и шестом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должностные лица Департамента кадровой политики МЧС России имеют право проводить собеседование с государственным служащим, представившим обращение или уведомление, получать от него письменные пояснения, а Министр или статс-секретарь - заместитель Министра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72E55" w:rsidRPr="00F72E55" w:rsidRDefault="00F72E55" w:rsidP="00DD08A8">
      <w:pPr>
        <w:pStyle w:val="a3"/>
        <w:numPr>
          <w:ilvl w:val="1"/>
          <w:numId w:val="4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Мотивированные заключения, предусмотренные пунктами 17, 18 и 19 настоящего Положения, должны содержать: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в абзацах втором, четвертом и шестом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втором, четвертом и шестом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а также рекомендации для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принятия одного из решений в соответствии с пунктами 29, 31, 33 настоящего Положения или иного решения.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следующих случаев: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заявлений, указанных в абзацах третьем и пятом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как правило, проводится,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уведомления, указанного в абзаце четвертом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проводится, как правило, на очередном (плановом) заседании комиссии;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 кадровой политики МЧС России и с результатами ее проверки;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ходатайства о приглашении на заседание комиссии лиц, указанных в подпункте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МЧС России (далее - гражданин).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государственного служащего или гражданина в случае: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если в обращении, заявлении или уведомлении, предусмотренных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На заседании комиссии заслушиваются пояснения государственного служащего или гражданина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итогам рассмотрения вопроса, указанного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в соответствии с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1065, являются достоверными и полными;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в соответствии с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1065,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третьем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четвертом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, являются достоверными и полными;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полученные в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 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F72E55" w:rsidRPr="00F72E55" w:rsidRDefault="00DD08A8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72E55" w:rsidRPr="00F72E55">
        <w:rPr>
          <w:rFonts w:ascii="Times New Roman" w:eastAsia="Times New Roman" w:hAnsi="Times New Roman" w:cs="Times New Roman"/>
          <w:sz w:val="28"/>
          <w:szCs w:val="28"/>
        </w:rPr>
        <w:t xml:space="preserve">о итогам рассмотрения вопроса, указанного в абзаце третьем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72E55"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72E55"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государственному служащему конкретную меру ответственности.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четвертом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в отношении гражданина, замещавшего должность государственной службы в МЧС России,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. В этом случае комиссия рекомендует Министру 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проинформировать об указанных обстоятельствах органы прокуратуры и уведомившую организацию.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пятом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, являются объективными и уважительными;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, не являются объективными и уважительными. В этом случае комиссия рекомендует Министру применить к государственному служащему конкретную меру ответственности.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шестом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Министру принять меры по урегулированию конфликта интересов или по недопущению его возникновения;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признать, что государственный служащий не соблюдал требования об урегулировании конфликта интересов. В этом случае комиссия рекомендует Министру применить к государственному служащему конкретную меру ответственности.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вопросов, предусмотренных подпунктами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при наличии к тому оснований комиссия может принять иное, чем предусмотрено пунктами 26-33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предусмотренного подпунктом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соответствующее решение.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Для исполнения решений комиссии могут быть подготовлены проекты правовых актов МЧС России, решений или поручений Министра, которые в установленном порядке представляются ему на рассмотрение.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Решения комиссии по вопросам, указанным в пункте 15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равенстве голосов присутствующих членов комиссии решение считается принятым в пользу государственного служащего, в отношении которого комиссией рассматривается вопрос.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носит обязательный характер.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дата заседания комиссии, фамилии, имена, отчества (при наличии) членов комиссии и других лиц, присутствующих на заседании;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 (при наличии),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предъявляемые к государственному служащему претензии, материалы, на которых они основываются;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содержание пояснений государственного служащего и других лиц по существу предъявляемых претензий;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(при наличии) выступивших на заседании лиц и краткое изложение их выступлений;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МЧС России;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другие сведения;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F72E55" w:rsidRPr="00F72E55" w:rsidRDefault="00F72E55" w:rsidP="00F7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решение и обоснование его принятия.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Министру, полностью или в виде выписок из него 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государственному служащему, а также по решению комиссии 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Министр рассматривает протокол заседания комиссии и вправе учесть, в пределах своей компетенции,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Министру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</w:t>
      </w:r>
      <w:r w:rsidR="00DD08A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немедленно.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МЧС России, вручается гражданину, замещавшему должность государственной службы в МЧС России, в отношении которого рассматривался вопрос, указанный в абзаце втором подпункта 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836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2E55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F72E55" w:rsidRPr="00F72E55" w:rsidRDefault="00F72E55" w:rsidP="00DD08A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Департаментом кадровой политики МЧС России.</w:t>
      </w:r>
    </w:p>
    <w:sectPr w:rsidR="00F72E55" w:rsidRPr="00F72E55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98" w:rsidRDefault="00DE7398">
      <w:pPr>
        <w:spacing w:after="0" w:line="240" w:lineRule="auto"/>
      </w:pPr>
      <w:r>
        <w:separator/>
      </w:r>
    </w:p>
  </w:endnote>
  <w:endnote w:type="continuationSeparator" w:id="0">
    <w:p w:rsidR="00DE7398" w:rsidRDefault="00DE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98" w:rsidRDefault="00DE7398">
      <w:pPr>
        <w:spacing w:after="0" w:line="240" w:lineRule="auto"/>
      </w:pPr>
      <w:r>
        <w:separator/>
      </w:r>
    </w:p>
  </w:footnote>
  <w:footnote w:type="continuationSeparator" w:id="0">
    <w:p w:rsidR="00DE7398" w:rsidRDefault="00DE7398">
      <w:pPr>
        <w:spacing w:after="0" w:line="240" w:lineRule="auto"/>
      </w:pPr>
      <w:r>
        <w:continuationSeparator/>
      </w:r>
    </w:p>
  </w:footnote>
  <w:footnote w:id="1">
    <w:p w:rsidR="00F72E55" w:rsidRPr="00483608" w:rsidRDefault="00F72E55" w:rsidP="00483608">
      <w:pPr>
        <w:pStyle w:val="a4"/>
        <w:jc w:val="both"/>
        <w:rPr>
          <w:rFonts w:ascii="Times New Roman" w:hAnsi="Times New Roman" w:cs="Times New Roman"/>
        </w:rPr>
      </w:pPr>
      <w:r w:rsidRPr="00483608">
        <w:rPr>
          <w:rStyle w:val="a6"/>
          <w:rFonts w:ascii="Times New Roman" w:hAnsi="Times New Roman" w:cs="Times New Roman"/>
        </w:rPr>
        <w:footnoteRef/>
      </w:r>
      <w:r w:rsidRPr="00483608">
        <w:rPr>
          <w:rFonts w:ascii="Times New Roman" w:hAnsi="Times New Roman" w:cs="Times New Roman"/>
        </w:rPr>
        <w:t xml:space="preserve"> Собрание законодательства Российской Федерации, 2008,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52 (ч. I), ст. 6228; 2011,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29, ст. 4291;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48, ст. 6730; 2012,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50 (ч. IV), ст. 6954,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53 (ч. I), ст. 7605; 2013,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19, ст. 2329,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40 (ч. III), ст. 5031;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52 (ч. I), ст. 6961; 2014,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52 (ч. I), ст. 7542; 2015,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41 (ч. II), ст. 5639;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45, ст. 6204,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48 (ч. I), ст. 6720; 2016,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7, ст. 912,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> 27 (ч. I), ст. 4169.</w:t>
      </w:r>
    </w:p>
  </w:footnote>
  <w:footnote w:id="2">
    <w:p w:rsidR="00F72E55" w:rsidRPr="00483608" w:rsidRDefault="00F72E55" w:rsidP="00483608">
      <w:pPr>
        <w:pStyle w:val="a4"/>
        <w:jc w:val="both"/>
        <w:rPr>
          <w:rFonts w:ascii="Times New Roman" w:hAnsi="Times New Roman" w:cs="Times New Roman"/>
        </w:rPr>
      </w:pPr>
      <w:r w:rsidRPr="00483608">
        <w:rPr>
          <w:rStyle w:val="a6"/>
          <w:rFonts w:ascii="Times New Roman" w:hAnsi="Times New Roman" w:cs="Times New Roman"/>
        </w:rPr>
        <w:footnoteRef/>
      </w:r>
      <w:r w:rsidRPr="00483608">
        <w:rPr>
          <w:rFonts w:ascii="Times New Roman" w:hAnsi="Times New Roman" w:cs="Times New Roman"/>
        </w:rPr>
        <w:t xml:space="preserve"> Собрание законодательства Российской Федерации, 2010,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27, ст. 3446; 2012,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12, ст. 1391; 2013,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14, ст. 1670,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49 (ч. VII), ст. 6399; 2014,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> 26 (ч. II), ст. 3518</w:t>
      </w:r>
      <w:proofErr w:type="gramStart"/>
      <w:r w:rsidRPr="00483608">
        <w:rPr>
          <w:rFonts w:ascii="Times New Roman" w:hAnsi="Times New Roman" w:cs="Times New Roman"/>
        </w:rPr>
        <w:t>; ;</w:t>
      </w:r>
      <w:proofErr w:type="gramEnd"/>
      <w:r w:rsidRPr="00483608">
        <w:rPr>
          <w:rFonts w:ascii="Times New Roman" w:hAnsi="Times New Roman" w:cs="Times New Roman"/>
        </w:rPr>
        <w:t xml:space="preserve"> 2015,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 xml:space="preserve"> 10, ст. 1506, </w:t>
      </w:r>
      <w:r w:rsidR="00483608" w:rsidRPr="00483608">
        <w:rPr>
          <w:rFonts w:ascii="Times New Roman" w:hAnsi="Times New Roman" w:cs="Times New Roman"/>
        </w:rPr>
        <w:t>№</w:t>
      </w:r>
      <w:r w:rsidRPr="00483608">
        <w:rPr>
          <w:rFonts w:ascii="Times New Roman" w:hAnsi="Times New Roman" w:cs="Times New Roman"/>
        </w:rPr>
        <w:t> 52 (ч. I), ст. 7588.</w:t>
      </w:r>
    </w:p>
  </w:footnote>
  <w:footnote w:id="3">
    <w:p w:rsidR="00483608" w:rsidRPr="00483608" w:rsidRDefault="00483608" w:rsidP="00483608">
      <w:pPr>
        <w:pStyle w:val="a4"/>
        <w:jc w:val="both"/>
        <w:rPr>
          <w:rFonts w:ascii="Times New Roman" w:hAnsi="Times New Roman" w:cs="Times New Roman"/>
        </w:rPr>
      </w:pPr>
      <w:r w:rsidRPr="00483608">
        <w:rPr>
          <w:rStyle w:val="a6"/>
          <w:rFonts w:ascii="Times New Roman" w:hAnsi="Times New Roman" w:cs="Times New Roman"/>
        </w:rPr>
        <w:footnoteRef/>
      </w:r>
      <w:r w:rsidRPr="00483608">
        <w:rPr>
          <w:rFonts w:ascii="Times New Roman" w:hAnsi="Times New Roman" w:cs="Times New Roman"/>
        </w:rPr>
        <w:t xml:space="preserve"> </w:t>
      </w:r>
      <w:r w:rsidRPr="00483608">
        <w:rPr>
          <w:rFonts w:ascii="Times New Roman" w:eastAsia="Times New Roman" w:hAnsi="Times New Roman" w:cs="Times New Roman"/>
        </w:rPr>
        <w:t>Военнослужащие спасательных воинских формирований, сотрудники федеральной противопожарной службы Государственной противопожарной службы.</w:t>
      </w:r>
    </w:p>
  </w:footnote>
  <w:footnote w:id="4">
    <w:p w:rsidR="00483608" w:rsidRPr="00483608" w:rsidRDefault="00483608" w:rsidP="00483608">
      <w:pPr>
        <w:pStyle w:val="a4"/>
        <w:jc w:val="both"/>
        <w:rPr>
          <w:rFonts w:ascii="Times New Roman" w:hAnsi="Times New Roman" w:cs="Times New Roman"/>
        </w:rPr>
      </w:pPr>
      <w:r w:rsidRPr="00483608">
        <w:rPr>
          <w:rStyle w:val="a6"/>
          <w:rFonts w:ascii="Times New Roman" w:hAnsi="Times New Roman" w:cs="Times New Roman"/>
        </w:rPr>
        <w:footnoteRef/>
      </w:r>
      <w:r w:rsidRPr="00483608">
        <w:rPr>
          <w:rFonts w:ascii="Times New Roman" w:hAnsi="Times New Roman" w:cs="Times New Roman"/>
        </w:rPr>
        <w:t xml:space="preserve"> </w:t>
      </w:r>
      <w:r w:rsidRPr="00483608">
        <w:rPr>
          <w:rFonts w:ascii="Times New Roman" w:eastAsia="Times New Roman" w:hAnsi="Times New Roman" w:cs="Times New Roman"/>
        </w:rPr>
        <w:t>Собрание законодательства Российской Федерации, 2009, № 39, ст. 4588; 2010, № 3, ст. 274, № 27, ст. 3446; 2012, № 12, ст. 1391; 2013, № 14, ст. 1670, № 49 (ч. VII), ст. 6399; 2014, № 26 (ч. II), ст. 3518; 2015, № 10, ст. 1506, № 29 (ч. II), ст. 4477.</w:t>
      </w:r>
    </w:p>
  </w:footnote>
  <w:footnote w:id="5">
    <w:p w:rsidR="00483608" w:rsidRPr="00483608" w:rsidRDefault="00483608" w:rsidP="00483608">
      <w:pPr>
        <w:pStyle w:val="a4"/>
        <w:jc w:val="both"/>
        <w:rPr>
          <w:rFonts w:ascii="Times New Roman" w:hAnsi="Times New Roman" w:cs="Times New Roman"/>
        </w:rPr>
      </w:pPr>
      <w:r w:rsidRPr="00483608">
        <w:rPr>
          <w:rStyle w:val="a6"/>
          <w:rFonts w:ascii="Times New Roman" w:hAnsi="Times New Roman" w:cs="Times New Roman"/>
        </w:rPr>
        <w:footnoteRef/>
      </w:r>
      <w:r w:rsidRPr="00483608">
        <w:rPr>
          <w:rFonts w:ascii="Times New Roman" w:hAnsi="Times New Roman" w:cs="Times New Roman"/>
        </w:rPr>
        <w:t xml:space="preserve"> </w:t>
      </w:r>
      <w:r w:rsidRPr="00483608">
        <w:rPr>
          <w:rFonts w:ascii="Times New Roman" w:eastAsia="Times New Roman" w:hAnsi="Times New Roman" w:cs="Times New Roman"/>
        </w:rPr>
        <w:t>Собрание законодательства Российской Федерации, 2012, № 50 (ч. IV), ст. 6953; 2014, № 52 (ч. I), ст. 7542; 2015, № 45, ст. 6204.</w:t>
      </w:r>
    </w:p>
  </w:footnote>
  <w:footnote w:id="6">
    <w:p w:rsidR="00483608" w:rsidRPr="00483608" w:rsidRDefault="00483608" w:rsidP="00483608">
      <w:pPr>
        <w:pStyle w:val="a4"/>
        <w:jc w:val="both"/>
        <w:rPr>
          <w:rFonts w:ascii="Times New Roman" w:hAnsi="Times New Roman" w:cs="Times New Roman"/>
        </w:rPr>
      </w:pPr>
      <w:r w:rsidRPr="00483608">
        <w:rPr>
          <w:rStyle w:val="a6"/>
          <w:rFonts w:ascii="Times New Roman" w:hAnsi="Times New Roman" w:cs="Times New Roman"/>
        </w:rPr>
        <w:footnoteRef/>
      </w:r>
      <w:r w:rsidRPr="00483608">
        <w:rPr>
          <w:rFonts w:ascii="Times New Roman" w:hAnsi="Times New Roman" w:cs="Times New Roman"/>
        </w:rPr>
        <w:t xml:space="preserve"> </w:t>
      </w:r>
      <w:r w:rsidRPr="00483608">
        <w:rPr>
          <w:rFonts w:ascii="Times New Roman" w:eastAsia="Times New Roman" w:hAnsi="Times New Roman" w:cs="Times New Roman"/>
        </w:rPr>
        <w:t>Собрание законодательства Российской Федерации, 2013, № 19, ст. 2306; 2014, № 52 (ч. I), ст. 7542; 2015, № 45, ст. 6204, № 48 (ч. I), ст. 6720.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86"/>
    <w:multiLevelType w:val="hybridMultilevel"/>
    <w:tmpl w:val="3152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530"/>
    <w:multiLevelType w:val="hybridMultilevel"/>
    <w:tmpl w:val="6BAC2BC4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CA4443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0236F8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6D2FD7"/>
    <w:multiLevelType w:val="hybridMultilevel"/>
    <w:tmpl w:val="251ABBF8"/>
    <w:lvl w:ilvl="0" w:tplc="11B260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B20D7"/>
    <w:multiLevelType w:val="hybridMultilevel"/>
    <w:tmpl w:val="D82A66D8"/>
    <w:lvl w:ilvl="0" w:tplc="0EE83F6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922D8B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C36648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4E1448"/>
    <w:multiLevelType w:val="hybridMultilevel"/>
    <w:tmpl w:val="5E68590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834BB7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6D560D"/>
    <w:multiLevelType w:val="hybridMultilevel"/>
    <w:tmpl w:val="F996890C"/>
    <w:lvl w:ilvl="0" w:tplc="2C645C3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15D07FFD"/>
    <w:multiLevelType w:val="hybridMultilevel"/>
    <w:tmpl w:val="F4503CCC"/>
    <w:lvl w:ilvl="0" w:tplc="0E8E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C6502"/>
    <w:multiLevelType w:val="hybridMultilevel"/>
    <w:tmpl w:val="67AA4AE0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681615"/>
    <w:multiLevelType w:val="hybridMultilevel"/>
    <w:tmpl w:val="016CDCB4"/>
    <w:lvl w:ilvl="0" w:tplc="17C0806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CDC5B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2268A9"/>
    <w:multiLevelType w:val="hybridMultilevel"/>
    <w:tmpl w:val="A72CBAFE"/>
    <w:lvl w:ilvl="0" w:tplc="BA20F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A26E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B5550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6AD7CE0"/>
    <w:multiLevelType w:val="hybridMultilevel"/>
    <w:tmpl w:val="CA4C7CC0"/>
    <w:lvl w:ilvl="0" w:tplc="84A414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4F378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9530B03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9740B3B"/>
    <w:multiLevelType w:val="hybridMultilevel"/>
    <w:tmpl w:val="5E68590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D1B2236"/>
    <w:multiLevelType w:val="hybridMultilevel"/>
    <w:tmpl w:val="60BC623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3F0C40"/>
    <w:multiLevelType w:val="hybridMultilevel"/>
    <w:tmpl w:val="5E68590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D943BFF"/>
    <w:multiLevelType w:val="hybridMultilevel"/>
    <w:tmpl w:val="9C260CC4"/>
    <w:lvl w:ilvl="0" w:tplc="087E450E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08B6755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BD03AE2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F8149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D10CD2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DA589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7454CE4"/>
    <w:multiLevelType w:val="hybridMultilevel"/>
    <w:tmpl w:val="53AE9C12"/>
    <w:lvl w:ilvl="0" w:tplc="53C64B5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36698B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AD739AE"/>
    <w:multiLevelType w:val="hybridMultilevel"/>
    <w:tmpl w:val="819247FA"/>
    <w:lvl w:ilvl="0" w:tplc="AC6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43468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3E3395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6673BF"/>
    <w:multiLevelType w:val="hybridMultilevel"/>
    <w:tmpl w:val="4D60B166"/>
    <w:lvl w:ilvl="0" w:tplc="B4386A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092812"/>
    <w:multiLevelType w:val="hybridMultilevel"/>
    <w:tmpl w:val="35AA3B96"/>
    <w:lvl w:ilvl="0" w:tplc="89364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9B037F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BE579DF"/>
    <w:multiLevelType w:val="hybridMultilevel"/>
    <w:tmpl w:val="411C4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7438EA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78C059E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7E75BD"/>
    <w:multiLevelType w:val="hybridMultilevel"/>
    <w:tmpl w:val="6BAC2BC4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48637B"/>
    <w:multiLevelType w:val="hybridMultilevel"/>
    <w:tmpl w:val="CD724730"/>
    <w:lvl w:ilvl="0" w:tplc="1E7E3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3"/>
  </w:num>
  <w:num w:numId="3">
    <w:abstractNumId w:val="36"/>
  </w:num>
  <w:num w:numId="4">
    <w:abstractNumId w:val="41"/>
  </w:num>
  <w:num w:numId="5">
    <w:abstractNumId w:val="6"/>
  </w:num>
  <w:num w:numId="6">
    <w:abstractNumId w:val="30"/>
  </w:num>
  <w:num w:numId="7">
    <w:abstractNumId w:val="19"/>
  </w:num>
  <w:num w:numId="8">
    <w:abstractNumId w:val="17"/>
  </w:num>
  <w:num w:numId="9">
    <w:abstractNumId w:val="16"/>
  </w:num>
  <w:num w:numId="10">
    <w:abstractNumId w:val="10"/>
  </w:num>
  <w:num w:numId="11">
    <w:abstractNumId w:val="4"/>
  </w:num>
  <w:num w:numId="12">
    <w:abstractNumId w:val="0"/>
  </w:num>
  <w:num w:numId="13">
    <w:abstractNumId w:val="37"/>
  </w:num>
  <w:num w:numId="14">
    <w:abstractNumId w:val="11"/>
  </w:num>
  <w:num w:numId="15">
    <w:abstractNumId w:val="43"/>
  </w:num>
  <w:num w:numId="16">
    <w:abstractNumId w:val="39"/>
  </w:num>
  <w:num w:numId="17">
    <w:abstractNumId w:val="5"/>
  </w:num>
  <w:num w:numId="18">
    <w:abstractNumId w:val="31"/>
  </w:num>
  <w:num w:numId="19">
    <w:abstractNumId w:val="15"/>
  </w:num>
  <w:num w:numId="20">
    <w:abstractNumId w:val="13"/>
  </w:num>
  <w:num w:numId="21">
    <w:abstractNumId w:val="24"/>
  </w:num>
  <w:num w:numId="22">
    <w:abstractNumId w:val="35"/>
  </w:num>
  <w:num w:numId="23">
    <w:abstractNumId w:val="7"/>
  </w:num>
  <w:num w:numId="24">
    <w:abstractNumId w:val="40"/>
  </w:num>
  <w:num w:numId="25">
    <w:abstractNumId w:val="2"/>
  </w:num>
  <w:num w:numId="26">
    <w:abstractNumId w:val="9"/>
  </w:num>
  <w:num w:numId="27">
    <w:abstractNumId w:val="42"/>
  </w:num>
  <w:num w:numId="28">
    <w:abstractNumId w:val="1"/>
  </w:num>
  <w:num w:numId="29">
    <w:abstractNumId w:val="38"/>
  </w:num>
  <w:num w:numId="30">
    <w:abstractNumId w:val="29"/>
  </w:num>
  <w:num w:numId="31">
    <w:abstractNumId w:val="32"/>
  </w:num>
  <w:num w:numId="32">
    <w:abstractNumId w:val="3"/>
  </w:num>
  <w:num w:numId="33">
    <w:abstractNumId w:val="27"/>
  </w:num>
  <w:num w:numId="34">
    <w:abstractNumId w:val="34"/>
  </w:num>
  <w:num w:numId="35">
    <w:abstractNumId w:val="25"/>
  </w:num>
  <w:num w:numId="36">
    <w:abstractNumId w:val="20"/>
  </w:num>
  <w:num w:numId="37">
    <w:abstractNumId w:val="21"/>
  </w:num>
  <w:num w:numId="38">
    <w:abstractNumId w:val="23"/>
  </w:num>
  <w:num w:numId="39">
    <w:abstractNumId w:val="8"/>
  </w:num>
  <w:num w:numId="40">
    <w:abstractNumId w:val="12"/>
  </w:num>
  <w:num w:numId="41">
    <w:abstractNumId w:val="22"/>
  </w:num>
  <w:num w:numId="42">
    <w:abstractNumId w:val="18"/>
  </w:num>
  <w:num w:numId="43">
    <w:abstractNumId w:val="28"/>
  </w:num>
  <w:num w:numId="4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0A05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2DE7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2A4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C376B"/>
    <w:rsid w:val="001D4877"/>
    <w:rsid w:val="001D5407"/>
    <w:rsid w:val="001E4901"/>
    <w:rsid w:val="001F403F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3A00"/>
    <w:rsid w:val="00234A9D"/>
    <w:rsid w:val="00235D2B"/>
    <w:rsid w:val="002372DA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4F"/>
    <w:rsid w:val="002750C0"/>
    <w:rsid w:val="00277C32"/>
    <w:rsid w:val="00282984"/>
    <w:rsid w:val="0029559A"/>
    <w:rsid w:val="002A0951"/>
    <w:rsid w:val="002A228E"/>
    <w:rsid w:val="002A2AD8"/>
    <w:rsid w:val="002A3DD6"/>
    <w:rsid w:val="002B6D1B"/>
    <w:rsid w:val="002B73CA"/>
    <w:rsid w:val="002C06F6"/>
    <w:rsid w:val="002C47E8"/>
    <w:rsid w:val="002D1BCF"/>
    <w:rsid w:val="002E4A25"/>
    <w:rsid w:val="002E5AE8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3FB3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D58FA"/>
    <w:rsid w:val="003E0666"/>
    <w:rsid w:val="003E0F65"/>
    <w:rsid w:val="003E43FF"/>
    <w:rsid w:val="003F0043"/>
    <w:rsid w:val="003F32AF"/>
    <w:rsid w:val="003F60C8"/>
    <w:rsid w:val="00401507"/>
    <w:rsid w:val="00403CD6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3608"/>
    <w:rsid w:val="00486464"/>
    <w:rsid w:val="00490381"/>
    <w:rsid w:val="00495F7F"/>
    <w:rsid w:val="004A0304"/>
    <w:rsid w:val="004A0D54"/>
    <w:rsid w:val="004A2D3E"/>
    <w:rsid w:val="004A2FC6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C94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270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A2288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07E95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47D6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66"/>
    <w:rsid w:val="00A01BEA"/>
    <w:rsid w:val="00A03B70"/>
    <w:rsid w:val="00A03BF6"/>
    <w:rsid w:val="00A04848"/>
    <w:rsid w:val="00A079A2"/>
    <w:rsid w:val="00A07E34"/>
    <w:rsid w:val="00A2320A"/>
    <w:rsid w:val="00A235B1"/>
    <w:rsid w:val="00A30753"/>
    <w:rsid w:val="00A30F09"/>
    <w:rsid w:val="00A33EDE"/>
    <w:rsid w:val="00A4617D"/>
    <w:rsid w:val="00A50365"/>
    <w:rsid w:val="00A541A6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B790B"/>
    <w:rsid w:val="00AC053E"/>
    <w:rsid w:val="00AC3C9D"/>
    <w:rsid w:val="00AC7975"/>
    <w:rsid w:val="00AD1F3A"/>
    <w:rsid w:val="00AD2FFF"/>
    <w:rsid w:val="00AE3247"/>
    <w:rsid w:val="00AE4E8C"/>
    <w:rsid w:val="00AE7AB1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56AD"/>
    <w:rsid w:val="00B57159"/>
    <w:rsid w:val="00B6014D"/>
    <w:rsid w:val="00B60CEA"/>
    <w:rsid w:val="00B61EFB"/>
    <w:rsid w:val="00B62154"/>
    <w:rsid w:val="00B62C68"/>
    <w:rsid w:val="00B64F1B"/>
    <w:rsid w:val="00B6591C"/>
    <w:rsid w:val="00B668AB"/>
    <w:rsid w:val="00B757A1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60C"/>
    <w:rsid w:val="00BC499D"/>
    <w:rsid w:val="00BC57A7"/>
    <w:rsid w:val="00BC6AB2"/>
    <w:rsid w:val="00BE7AE5"/>
    <w:rsid w:val="00BF3330"/>
    <w:rsid w:val="00BF7190"/>
    <w:rsid w:val="00C033E4"/>
    <w:rsid w:val="00C037B6"/>
    <w:rsid w:val="00C0389C"/>
    <w:rsid w:val="00C10FF3"/>
    <w:rsid w:val="00C1344F"/>
    <w:rsid w:val="00C15250"/>
    <w:rsid w:val="00C17A31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76D31"/>
    <w:rsid w:val="00C82B26"/>
    <w:rsid w:val="00C93B00"/>
    <w:rsid w:val="00C942EB"/>
    <w:rsid w:val="00C9472C"/>
    <w:rsid w:val="00C94E64"/>
    <w:rsid w:val="00CA558B"/>
    <w:rsid w:val="00CB4B8A"/>
    <w:rsid w:val="00CC0031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226E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3A68"/>
    <w:rsid w:val="00D85B74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8A8"/>
    <w:rsid w:val="00DD0DD5"/>
    <w:rsid w:val="00DD3B62"/>
    <w:rsid w:val="00DD589B"/>
    <w:rsid w:val="00DE31EE"/>
    <w:rsid w:val="00DE4FE7"/>
    <w:rsid w:val="00DE563F"/>
    <w:rsid w:val="00DE7398"/>
    <w:rsid w:val="00DF58D6"/>
    <w:rsid w:val="00E04C14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0C7C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2E5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s3">
    <w:name w:val="s_3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6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D0F9A-85C1-43AB-A36A-B2A484B5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3790</TotalTime>
  <Pages>1</Pages>
  <Words>5151</Words>
  <Characters>29364</Characters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2021-06-21T18:01:00Z</dcterms:modified>
</cp:coreProperties>
</file>