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    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D044C4" w:rsidRPr="00D044C4" w:rsidTr="00D044C4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C4" w:rsidRPr="00D044C4" w:rsidTr="00D044C4">
        <w:tc>
          <w:tcPr>
            <w:tcW w:w="96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14B29" w:rsidRDefault="00B14B29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14B29" w:rsidRDefault="00B14B29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14B29" w:rsidRPr="00D044C4" w:rsidRDefault="00B14B29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044C4" w:rsidRPr="00D044C4" w:rsidRDefault="00D044C4" w:rsidP="00D044C4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  <w:p w:rsidR="00D044C4" w:rsidRPr="00B14B29" w:rsidRDefault="00D044C4" w:rsidP="00D044C4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4"/>
              </w:rPr>
            </w:pPr>
            <w:r w:rsidRPr="00D044C4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B14B29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4"/>
              </w:rPr>
              <w:t>ПРОГРАММА ВВОДНОГО ИНСТРУКТАЖА</w:t>
            </w:r>
          </w:p>
          <w:p w:rsidR="00D044C4" w:rsidRPr="00D044C4" w:rsidRDefault="003B732F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</w:rPr>
            </w:pPr>
            <w:r w:rsidRPr="00B14B29">
              <w:rPr>
                <w:rFonts w:ascii="Times New Roman" w:hAnsi="Times New Roman" w:cs="Times New Roman"/>
                <w:b/>
                <w:bCs/>
                <w:color w:val="000001"/>
                <w:sz w:val="28"/>
              </w:rPr>
              <w:t xml:space="preserve">ПО </w:t>
            </w:r>
            <w:r w:rsidR="00B14B29" w:rsidRPr="00B14B29">
              <w:rPr>
                <w:rFonts w:ascii="Times New Roman" w:hAnsi="Times New Roman" w:cs="Times New Roman"/>
                <w:b/>
                <w:bCs/>
                <w:color w:val="000001"/>
                <w:sz w:val="28"/>
              </w:rPr>
              <w:t>Г</w:t>
            </w:r>
            <w:r w:rsidR="00B14B29">
              <w:rPr>
                <w:rFonts w:ascii="Times New Roman" w:hAnsi="Times New Roman" w:cs="Times New Roman"/>
                <w:b/>
                <w:bCs/>
                <w:color w:val="000001"/>
                <w:sz w:val="28"/>
              </w:rPr>
              <w:t>РАЖДАНСКОЙ ОБОРОНЕ</w:t>
            </w: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9" w:rsidRPr="00D044C4" w:rsidRDefault="00B14B29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B14B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_________________ 20___ г.</w:t>
            </w:r>
          </w:p>
        </w:tc>
      </w:tr>
    </w:tbl>
    <w:p w:rsidR="00D044C4" w:rsidRDefault="00D044C4" w:rsidP="00D044C4">
      <w:pPr>
        <w:pStyle w:val="a3"/>
        <w:rPr>
          <w:rFonts w:ascii="Times New Roman" w:hAnsi="Times New Roman" w:cs="Times New Roman"/>
        </w:rPr>
      </w:pPr>
    </w:p>
    <w:p w:rsidR="00D044C4" w:rsidRPr="00D044C4" w:rsidRDefault="00D044C4" w:rsidP="00D044C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27"/>
        <w:gridCol w:w="4813"/>
      </w:tblGrid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4C4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044C4" w:rsidRPr="00D044C4" w:rsidTr="00D044C4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"___" ________________ 20__г. </w:t>
            </w:r>
          </w:p>
        </w:tc>
      </w:tr>
    </w:tbl>
    <w:p w:rsidR="00D044C4" w:rsidRPr="00D044C4" w:rsidRDefault="00D044C4" w:rsidP="00D044C4">
      <w:pPr>
        <w:pStyle w:val="a3"/>
        <w:rPr>
          <w:rFonts w:ascii="Times New Roman" w:hAnsi="Times New Roman" w:cs="Times New Roman"/>
        </w:rPr>
      </w:pPr>
    </w:p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D044C4" w:rsidRPr="00D044C4" w:rsidTr="00D044C4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C4" w:rsidRPr="00D044C4" w:rsidTr="00D044C4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44C4" w:rsidRPr="00D044C4" w:rsidRDefault="00D044C4" w:rsidP="00D044C4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4" w:rsidRPr="00D044C4" w:rsidRDefault="00D044C4" w:rsidP="00D044C4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D044C4" w:rsidRPr="00D044C4" w:rsidRDefault="00D044C4" w:rsidP="00D044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      </w:t>
            </w:r>
          </w:p>
          <w:p w:rsidR="00D044C4" w:rsidRPr="00D044C4" w:rsidRDefault="00D044C4" w:rsidP="00D044C4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  <w:p w:rsidR="00B14B29" w:rsidRPr="00B14B29" w:rsidRDefault="00D044C4" w:rsidP="00B14B29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4"/>
              </w:rPr>
            </w:pPr>
            <w:r w:rsidRPr="00D044C4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="00B14B29" w:rsidRPr="00B14B29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4"/>
              </w:rPr>
              <w:t>ПРОГРАММА ВВОДНОГО ИНСТРУКТАЖА</w:t>
            </w:r>
          </w:p>
          <w:p w:rsidR="00D044C4" w:rsidRPr="00D044C4" w:rsidRDefault="00B14B29" w:rsidP="00B14B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</w:rPr>
            </w:pPr>
            <w:r w:rsidRPr="00B14B29">
              <w:rPr>
                <w:rFonts w:ascii="Times New Roman" w:hAnsi="Times New Roman" w:cs="Times New Roman"/>
                <w:b/>
                <w:bCs/>
                <w:color w:val="000001"/>
                <w:sz w:val="28"/>
              </w:rPr>
              <w:t>ПО Г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8"/>
              </w:rPr>
              <w:t>РАЖДАНСКОЙ ОБОРОНЕ</w:t>
            </w:r>
          </w:p>
        </w:tc>
      </w:tr>
    </w:tbl>
    <w:p w:rsidR="00D044C4" w:rsidRPr="00D044C4" w:rsidRDefault="00D044C4" w:rsidP="00D044C4">
      <w:pPr>
        <w:pStyle w:val="a3"/>
        <w:rPr>
          <w:rFonts w:ascii="Times New Roman" w:hAnsi="Times New Roman" w:cs="Times New Roman"/>
        </w:rPr>
      </w:pPr>
    </w:p>
    <w:p w:rsidR="00D044C4" w:rsidRPr="00D044C4" w:rsidRDefault="00D044C4" w:rsidP="00D044C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          </w:t>
      </w:r>
    </w:p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     </w:t>
      </w: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Pr="00D044C4">
        <w:rPr>
          <w:rFonts w:ascii="Times New Roman" w:hAnsi="Times New Roman" w:cs="Times New Roman"/>
          <w:sz w:val="24"/>
          <w:szCs w:val="24"/>
        </w:rPr>
        <w:t>:</w:t>
      </w:r>
    </w:p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044C4" w:rsidRPr="00D044C4" w:rsidRDefault="00D044C4" w:rsidP="00D044C4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4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C4" w:rsidRPr="00D044C4" w:rsidRDefault="00D044C4" w:rsidP="00D044C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Pr="00B14B29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4B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 Москва,</w:t>
      </w:r>
    </w:p>
    <w:p w:rsidR="00D044C4" w:rsidRP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   2017 год</w:t>
      </w: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1. ВВОДНАЯ ЧАСТЬ</w:t>
      </w:r>
    </w:p>
    <w:p w:rsidR="00D044C4" w:rsidRP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</w:t>
      </w:r>
      <w:r w:rsidR="003B732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3B732F">
        <w:rPr>
          <w:rFonts w:ascii="Times New Roman" w:hAnsi="Times New Roman" w:cs="Times New Roman"/>
          <w:sz w:val="24"/>
          <w:szCs w:val="24"/>
        </w:rPr>
        <w:t>Вводный инструктаж по ГО</w:t>
      </w:r>
      <w:r w:rsidRPr="00D044C4">
        <w:rPr>
          <w:rFonts w:ascii="Times New Roman" w:hAnsi="Times New Roman" w:cs="Times New Roman"/>
          <w:sz w:val="24"/>
          <w:szCs w:val="24"/>
        </w:rPr>
        <w:t xml:space="preserve">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  <w:proofErr w:type="gramEnd"/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</w:t>
      </w:r>
      <w:r w:rsidR="003B732F">
        <w:rPr>
          <w:rFonts w:ascii="Times New Roman" w:hAnsi="Times New Roman" w:cs="Times New Roman"/>
          <w:sz w:val="24"/>
          <w:szCs w:val="24"/>
        </w:rPr>
        <w:t>3. Вводный инструктаж по ГО</w:t>
      </w:r>
      <w:r w:rsidRPr="00D044C4">
        <w:rPr>
          <w:rFonts w:ascii="Times New Roman" w:hAnsi="Times New Roman" w:cs="Times New Roman"/>
          <w:sz w:val="24"/>
          <w:szCs w:val="24"/>
        </w:rPr>
        <w:t xml:space="preserve">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Продолжительность инструктажа устанавливается в соответствии с утвержденной программой.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</w:t>
      </w:r>
      <w:r w:rsidR="003B732F">
        <w:rPr>
          <w:rFonts w:ascii="Times New Roman" w:hAnsi="Times New Roman" w:cs="Times New Roman"/>
          <w:sz w:val="24"/>
          <w:szCs w:val="24"/>
        </w:rPr>
        <w:t>4. Вводный инструктаж по ГО</w:t>
      </w:r>
      <w:r w:rsidRPr="00D044C4">
        <w:rPr>
          <w:rFonts w:ascii="Times New Roman" w:hAnsi="Times New Roman" w:cs="Times New Roman"/>
          <w:sz w:val="24"/>
          <w:szCs w:val="24"/>
        </w:rPr>
        <w:t xml:space="preserve"> проводит работник, на которого приказом работодателя (или уполномоченного им лица) возложены эти обязанности.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1.6. Проведение</w:t>
      </w:r>
      <w:r w:rsidR="003B732F">
        <w:rPr>
          <w:rFonts w:ascii="Times New Roman" w:hAnsi="Times New Roman" w:cs="Times New Roman"/>
          <w:sz w:val="24"/>
          <w:szCs w:val="24"/>
        </w:rPr>
        <w:t xml:space="preserve"> вводного инструктажа по ГО</w:t>
      </w:r>
      <w:r w:rsidRPr="00D044C4">
        <w:rPr>
          <w:rFonts w:ascii="Times New Roman" w:hAnsi="Times New Roman" w:cs="Times New Roman"/>
          <w:sz w:val="24"/>
          <w:szCs w:val="24"/>
        </w:rPr>
        <w:t xml:space="preserve">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</w:t>
      </w:r>
      <w:r w:rsidR="003B732F">
        <w:rPr>
          <w:rFonts w:ascii="Times New Roman" w:hAnsi="Times New Roman" w:cs="Times New Roman"/>
          <w:sz w:val="24"/>
          <w:szCs w:val="24"/>
        </w:rPr>
        <w:t>7. Вводный инструктаж по ГО</w:t>
      </w:r>
      <w:r w:rsidRPr="00D044C4">
        <w:rPr>
          <w:rFonts w:ascii="Times New Roman" w:hAnsi="Times New Roman" w:cs="Times New Roman"/>
          <w:sz w:val="24"/>
          <w:szCs w:val="24"/>
        </w:rPr>
        <w:t xml:space="preserve"> завершается устной проверкой приобретенных знаний лицом, проводившим инструктаж.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1.8. Результаты проведения вводного инструктажа заносятся в журнал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4C4">
        <w:rPr>
          <w:rFonts w:ascii="Times New Roman" w:hAnsi="Times New Roman" w:cs="Times New Roman"/>
          <w:sz w:val="24"/>
          <w:szCs w:val="24"/>
        </w:rPr>
        <w:t>Регистрации вводного инструктажа</w:t>
      </w:r>
      <w:r w:rsidR="003B732F">
        <w:rPr>
          <w:rFonts w:ascii="Times New Roman" w:hAnsi="Times New Roman" w:cs="Times New Roman"/>
          <w:sz w:val="24"/>
          <w:szCs w:val="24"/>
        </w:rPr>
        <w:t xml:space="preserve"> по 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44C4">
        <w:rPr>
          <w:rFonts w:ascii="Times New Roman" w:hAnsi="Times New Roman" w:cs="Times New Roman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D044C4" w:rsidRPr="00D044C4" w:rsidRDefault="00D044C4" w:rsidP="00D044C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bookmarkStart w:id="0" w:name="_GoBack"/>
      <w:bookmarkEnd w:id="0"/>
    </w:p>
    <w:p w:rsid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ТЕМАТИЧЕСКИЙ ПЛАН ПРОВЕДЕНИЯ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ВВОДНОГО ИНСТРУКТАЖА ПО ГО И ЧС</w:t>
      </w:r>
    </w:p>
    <w:p w:rsidR="00D044C4" w:rsidRP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Время изучения</w:t>
            </w:r>
          </w:p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темы, мин. 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Система ГО и РСЧС, действующая в организации (на предприятии)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Нормативно-правовое регулирование по подготовке к защите и </w:t>
            </w:r>
            <w:r w:rsidRPr="00D044C4">
              <w:rPr>
                <w:rFonts w:ascii="Times New Roman" w:hAnsi="Times New Roman" w:cs="Times New Roman"/>
              </w:rPr>
              <w:lastRenderedPageBreak/>
              <w:t xml:space="preserve">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25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35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20</w:t>
            </w:r>
          </w:p>
        </w:tc>
      </w:tr>
      <w:tr w:rsidR="00D044C4" w:rsidRPr="00D044C4" w:rsidTr="00D044C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D044C4" w:rsidRPr="00D044C4" w:rsidTr="00D044C4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ind w:firstLine="662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44C4" w:rsidRPr="00D044C4" w:rsidRDefault="00D044C4" w:rsidP="00D04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150 мин. </w:t>
            </w:r>
          </w:p>
        </w:tc>
      </w:tr>
    </w:tbl>
    <w:p w:rsidR="00D044C4" w:rsidRP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D044C4" w:rsidRPr="00D044C4" w:rsidRDefault="00D044C4" w:rsidP="00D044C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ПЕРЕЧЕНЬ ОСНОВНЫХ ВОПРОСОВ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ВВОДНОГО ИНСТРУКТАЖА ПО ГО и ЧС</w:t>
      </w:r>
    </w:p>
    <w:p w:rsidR="00D044C4" w:rsidRDefault="00D044C4" w:rsidP="00D044C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3.1. Направление деятельности организации (предприятия), ее назначение, функции, основные технологические процессы.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3.2. Структура и задачи системы ГО и РСЧС организации (предприятия). Права, обязанности, состав сил и средств ее подразделений и формирований.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Основные термины и понятия.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4C4">
        <w:rPr>
          <w:rFonts w:ascii="Times New Roman" w:hAnsi="Times New Roman" w:cs="Times New Roman"/>
          <w:sz w:val="24"/>
          <w:szCs w:val="24"/>
        </w:rPr>
        <w:t>Основные локальные</w:t>
      </w:r>
      <w:proofErr w:type="gramEnd"/>
      <w:r w:rsidRPr="00D044C4">
        <w:rPr>
          <w:rFonts w:ascii="Times New Roman" w:hAnsi="Times New Roman" w:cs="Times New Roman"/>
          <w:sz w:val="24"/>
          <w:szCs w:val="24"/>
        </w:rPr>
        <w:t xml:space="preserve"> нормативные акты в области ГО и ЧС, действующие в организации (на предприятии). Положение об организации и ведении гражданской обороны. План гражданской обороны.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Оповещение. Действия работников организации (предприятия) при оповещении о чрезвычайных ситуациях в мирное время и об опасностях, возникающих при ведении </w:t>
      </w:r>
      <w:r w:rsidRPr="00D044C4">
        <w:rPr>
          <w:rFonts w:ascii="Times New Roman" w:hAnsi="Times New Roman" w:cs="Times New Roman"/>
          <w:sz w:val="24"/>
          <w:szCs w:val="24"/>
        </w:rPr>
        <w:lastRenderedPageBreak/>
        <w:t>военных действий или вследствие этих действий. Сигналы оповещения.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 (на предприятии).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Классификация и характеристика чрезвычайных ситуаций природного характера.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Наиболее вероятные чрезвычайные ситуации, характерные для местности, где расположена организация (предприятие). Их причины и последствия. Действи</w:t>
      </w:r>
      <w:r>
        <w:rPr>
          <w:rFonts w:ascii="Times New Roman" w:hAnsi="Times New Roman" w:cs="Times New Roman"/>
          <w:sz w:val="24"/>
          <w:szCs w:val="24"/>
        </w:rPr>
        <w:t xml:space="preserve">я работников при оповещении, во </w:t>
      </w:r>
      <w:r w:rsidRPr="00D044C4">
        <w:rPr>
          <w:rFonts w:ascii="Times New Roman" w:hAnsi="Times New Roman" w:cs="Times New Roman"/>
          <w:sz w:val="24"/>
          <w:szCs w:val="24"/>
        </w:rPr>
        <w:t>время и после их возникновения.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Перечень потенциально опасных объектов, которые могут оказывать воздействие на нормальное функционирование организации (предприятия), их характеристика.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Возможная обстановка в организации (на предприятии) при возникновении крупных аварий и техногенных катастроф.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Действия работников: при оповещении об аварии на радиационно опасном, химически опасном, </w:t>
      </w:r>
      <w:proofErr w:type="spellStart"/>
      <w:r w:rsidRPr="00D044C4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D044C4">
        <w:rPr>
          <w:rFonts w:ascii="Times New Roman" w:hAnsi="Times New Roman" w:cs="Times New Roman"/>
          <w:sz w:val="24"/>
          <w:szCs w:val="24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3.7. Возможные негативные и опасные факторы бытового характера.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Способы предотвращения и преодоления паники и панических настроений.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Действия при дорожно-транспортных происшествиях, отравлениях, укусах животных.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3.8. Основные требования пожарной безопасности на рабочем месте и в быту. 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Противопожарный режим организации (предприятия). Система оповещения и инструкция по действиям работников при пожаре. План (схема) эвакуации. 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Обязанности граждан по соблюдению правил пожарной безопасности. Ответственность </w:t>
      </w:r>
      <w:r w:rsidRPr="00D044C4">
        <w:rPr>
          <w:rFonts w:ascii="Times New Roman" w:hAnsi="Times New Roman" w:cs="Times New Roman"/>
          <w:sz w:val="24"/>
          <w:szCs w:val="24"/>
        </w:rPr>
        <w:lastRenderedPageBreak/>
        <w:t xml:space="preserve">за нарушения требований пожарной безопасности. 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044C4" w:rsidRP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044C4" w:rsidRDefault="00D044C4" w:rsidP="00D044C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Основы ухода за больными. Возможный состав домашней медицинской аптечки.</w:t>
      </w:r>
    </w:p>
    <w:p w:rsidR="00D044C4" w:rsidRPr="00D044C4" w:rsidRDefault="00D044C4" w:rsidP="00D044C4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4C4" w:rsidRPr="00D044C4" w:rsidSect="00D044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C4"/>
    <w:rsid w:val="003B732F"/>
    <w:rsid w:val="00B14B29"/>
    <w:rsid w:val="00D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4">
    <w:name w:val="Hyperlink"/>
    <w:uiPriority w:val="99"/>
    <w:unhideWhenUsed/>
    <w:rsid w:val="00D044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04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4">
    <w:name w:val="Hyperlink"/>
    <w:uiPriority w:val="99"/>
    <w:unhideWhenUsed/>
    <w:rsid w:val="00D0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2017-06-15T12:31:00Z</dcterms:created>
  <dcterms:modified xsi:type="dcterms:W3CDTF">2017-06-15T12:31:00Z</dcterms:modified>
</cp:coreProperties>
</file>