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4CD8" w:rsidRDefault="00711D9B">
      <w:pPr>
        <w:pStyle w:val="1"/>
        <w:rPr>
          <w:color w:val="auto"/>
        </w:rPr>
      </w:pPr>
      <w:r w:rsidRPr="003F4CD8">
        <w:rPr>
          <w:color w:val="auto"/>
        </w:rPr>
        <w:t>Национальный стандарт РФ ГОСТ Р 53303-2009</w:t>
      </w:r>
      <w:r w:rsidRPr="003F4CD8">
        <w:rPr>
          <w:color w:val="auto"/>
        </w:rPr>
        <w:br/>
        <w:t>"Конструкции строительные. Противопожарные двери и ворота. Метод испытаний на дымогазопроницаемость"</w:t>
      </w:r>
      <w:r w:rsidRPr="003F4CD8">
        <w:rPr>
          <w:color w:val="auto"/>
        </w:rPr>
        <w:br/>
        <w:t xml:space="preserve">(утв. </w:t>
      </w:r>
      <w:r w:rsidRPr="003F4CD8">
        <w:rPr>
          <w:rStyle w:val="a4"/>
          <w:b w:val="0"/>
          <w:bCs w:val="0"/>
          <w:color w:val="auto"/>
        </w:rPr>
        <w:t>приказом</w:t>
      </w:r>
      <w:r w:rsidRPr="003F4CD8">
        <w:rPr>
          <w:color w:val="auto"/>
        </w:rPr>
        <w:t xml:space="preserve"> Федерального агентства по техническому регулированию и метрологии от 18 февраля 2009 г. N 79-ст)</w:t>
      </w:r>
    </w:p>
    <w:p w:rsidR="00000000" w:rsidRPr="003F4CD8" w:rsidRDefault="00711D9B">
      <w:pPr>
        <w:pStyle w:val="afff"/>
        <w:rPr>
          <w:color w:val="auto"/>
        </w:rPr>
      </w:pPr>
      <w:r w:rsidRPr="003F4CD8">
        <w:rPr>
          <w:color w:val="auto"/>
        </w:rPr>
        <w:t>С изменениями и дополнениями от:</w:t>
      </w:r>
    </w:p>
    <w:p w:rsidR="00000000" w:rsidRPr="003F4CD8" w:rsidRDefault="00711D9B">
      <w:pPr>
        <w:pStyle w:val="afd"/>
        <w:rPr>
          <w:color w:val="auto"/>
        </w:rPr>
      </w:pPr>
      <w:r w:rsidRPr="003F4CD8">
        <w:rPr>
          <w:color w:val="auto"/>
        </w:rPr>
        <w:t>9 декабря 2013 г.</w:t>
      </w:r>
    </w:p>
    <w:p w:rsidR="00000000" w:rsidRPr="003F4CD8" w:rsidRDefault="00711D9B"/>
    <w:p w:rsidR="00000000" w:rsidRPr="003F4CD8" w:rsidRDefault="00711D9B">
      <w:pPr>
        <w:ind w:firstLine="698"/>
        <w:jc w:val="right"/>
      </w:pPr>
      <w:r w:rsidRPr="003F4CD8">
        <w:t>Дата введения - 1 января 2010 г.</w:t>
      </w:r>
    </w:p>
    <w:p w:rsidR="00000000" w:rsidRPr="003F4CD8" w:rsidRDefault="00711D9B">
      <w:pPr>
        <w:ind w:firstLine="698"/>
        <w:jc w:val="right"/>
      </w:pPr>
      <w:r w:rsidRPr="003F4CD8">
        <w:t>с правом досрочного применения</w:t>
      </w:r>
    </w:p>
    <w:p w:rsidR="00000000" w:rsidRPr="003F4CD8" w:rsidRDefault="00711D9B">
      <w:pPr>
        <w:ind w:firstLine="698"/>
        <w:jc w:val="right"/>
      </w:pPr>
      <w:r w:rsidRPr="003F4CD8">
        <w:t>Введен впервые</w:t>
      </w:r>
    </w:p>
    <w:p w:rsidR="00000000" w:rsidRPr="003F4CD8" w:rsidRDefault="00711D9B">
      <w:pPr>
        <w:pStyle w:val="afa"/>
        <w:rPr>
          <w:color w:val="auto"/>
        </w:rPr>
      </w:pP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Ростехрегулирования от 18 февраля 2009 г. N 79-ст настоящий ГОСТ вводится в действие с 1 мая 2009 г.</w:t>
      </w:r>
    </w:p>
    <w:p w:rsidR="00000000" w:rsidRPr="003F4CD8" w:rsidRDefault="00711D9B">
      <w:pPr>
        <w:pStyle w:val="afa"/>
        <w:rPr>
          <w:color w:val="auto"/>
        </w:rPr>
      </w:pPr>
      <w:r w:rsidRPr="003F4CD8">
        <w:rPr>
          <w:rStyle w:val="a4"/>
          <w:color w:val="auto"/>
        </w:rPr>
        <w:t>Отдельные части</w:t>
      </w:r>
      <w:r w:rsidRPr="003F4CD8">
        <w:rPr>
          <w:color w:val="auto"/>
        </w:rPr>
        <w:t xml:space="preserve"> наст</w:t>
      </w:r>
      <w:r w:rsidRPr="003F4CD8">
        <w:rPr>
          <w:color w:val="auto"/>
        </w:rPr>
        <w:t xml:space="preserve">оящего ГОСТа включены в </w:t>
      </w:r>
      <w:r w:rsidRPr="003F4CD8">
        <w:rPr>
          <w:rStyle w:val="a4"/>
          <w:color w:val="auto"/>
        </w:rPr>
        <w:t>Перечень</w:t>
      </w:r>
      <w:r w:rsidRPr="003F4CD8">
        <w:rPr>
          <w:color w:val="auto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r w:rsidRPr="003F4CD8">
        <w:rPr>
          <w:rStyle w:val="a4"/>
          <w:color w:val="auto"/>
        </w:rPr>
        <w:t>Технического регламента</w:t>
      </w:r>
      <w:r w:rsidRPr="003F4CD8">
        <w:rPr>
          <w:color w:val="auto"/>
        </w:rPr>
        <w:t xml:space="preserve"> о требованиях пожарной безопасности</w:t>
      </w:r>
    </w:p>
    <w:p w:rsidR="00000000" w:rsidRPr="003F4CD8" w:rsidRDefault="00711D9B">
      <w:pPr>
        <w:pStyle w:val="1"/>
        <w:rPr>
          <w:color w:val="auto"/>
        </w:rPr>
      </w:pPr>
      <w:bookmarkStart w:id="0" w:name="sub_100"/>
      <w:r w:rsidRPr="003F4CD8">
        <w:rPr>
          <w:color w:val="auto"/>
        </w:rPr>
        <w:t>1 Область применения</w:t>
      </w:r>
    </w:p>
    <w:bookmarkEnd w:id="0"/>
    <w:p w:rsidR="00000000" w:rsidRPr="003F4CD8" w:rsidRDefault="00711D9B"/>
    <w:p w:rsidR="00000000" w:rsidRPr="003F4CD8" w:rsidRDefault="00711D9B">
      <w:bookmarkStart w:id="1" w:name="sub_101"/>
      <w:r w:rsidRPr="003F4CD8">
        <w:t>1.1 Настоящий стандарт устанавливает метод испытания на дымогазопроницаемость дверей и ворот (далее - двери), предназн</w:t>
      </w:r>
      <w:r w:rsidRPr="003F4CD8">
        <w:t>аченных для заполнения проемов в стенах и перегородках, в том числе:</w:t>
      </w:r>
    </w:p>
    <w:bookmarkEnd w:id="1"/>
    <w:p w:rsidR="00000000" w:rsidRPr="003F4CD8" w:rsidRDefault="00711D9B">
      <w:r w:rsidRPr="003F4CD8">
        <w:t>конструкций дымогазонепроницаемых дверей со светопрозрачными элементами менее 25% от площади заполняемого проема;</w:t>
      </w:r>
    </w:p>
    <w:p w:rsidR="00000000" w:rsidRPr="003F4CD8" w:rsidRDefault="00711D9B">
      <w:r w:rsidRPr="003F4CD8">
        <w:t>конструкций дымогазонепроницаемых дверей со светопрозрачными элеме</w:t>
      </w:r>
      <w:r w:rsidRPr="003F4CD8">
        <w:t>нтами площадью более 25% от площади заполняемого проема.</w:t>
      </w:r>
    </w:p>
    <w:p w:rsidR="00000000" w:rsidRPr="003F4CD8" w:rsidRDefault="00711D9B">
      <w:bookmarkStart w:id="2" w:name="sub_102"/>
      <w:r w:rsidRPr="003F4CD8">
        <w:t>1.2 Требования данного стандарта не распространяются на специальные заполнения проемов с нормируемой газопроницаемостью (гермодвери спецсооружений, двери судовых герметичных перегородок и др.)</w:t>
      </w:r>
      <w:r w:rsidRPr="003F4CD8">
        <w:t>, а также на двери шахт лифтов.</w:t>
      </w:r>
    </w:p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3" w:name="sub_103"/>
      <w:bookmarkEnd w:id="2"/>
      <w:r w:rsidRPr="003F4CD8">
        <w:rPr>
          <w:color w:val="auto"/>
          <w:sz w:val="16"/>
          <w:szCs w:val="16"/>
        </w:rPr>
        <w:t>Информация об изменениях:</w:t>
      </w:r>
    </w:p>
    <w:bookmarkEnd w:id="3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</w:t>
      </w:r>
      <w:r w:rsidRPr="003F4CD8">
        <w:rPr>
          <w:color w:val="auto"/>
        </w:rPr>
        <w:t xml:space="preserve"> 9 декабря 2013 г. N 2215-ст, в пункт 1.3 внесены изменения, вступающие в силу с 1 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пункта в предыдущей редакции</w:t>
      </w:r>
    </w:p>
    <w:p w:rsidR="00000000" w:rsidRPr="003F4CD8" w:rsidRDefault="00711D9B">
      <w:r w:rsidRPr="003F4CD8">
        <w:t>1.3 Применение данного стандарта должно осуществлятьс</w:t>
      </w:r>
      <w:r w:rsidRPr="003F4CD8">
        <w:t xml:space="preserve">я совместно с </w:t>
      </w:r>
      <w:r w:rsidRPr="003F4CD8">
        <w:rPr>
          <w:rStyle w:val="a4"/>
          <w:color w:val="auto"/>
        </w:rPr>
        <w:t>ГОСТ 30247.0</w:t>
      </w:r>
      <w:r w:rsidRPr="003F4CD8">
        <w:t xml:space="preserve">, </w:t>
      </w:r>
      <w:r w:rsidRPr="003F4CD8">
        <w:rPr>
          <w:rStyle w:val="a4"/>
          <w:color w:val="auto"/>
        </w:rPr>
        <w:t>ГОСТ Р 53307</w:t>
      </w:r>
      <w:r w:rsidRPr="003F4CD8">
        <w:t xml:space="preserve">, </w:t>
      </w:r>
      <w:r w:rsidRPr="003F4CD8">
        <w:rPr>
          <w:rStyle w:val="a4"/>
          <w:color w:val="auto"/>
        </w:rPr>
        <w:t>ГОСТ Р 53308</w:t>
      </w:r>
      <w:r w:rsidRPr="003F4CD8">
        <w:t>.</w:t>
      </w:r>
    </w:p>
    <w:p w:rsidR="00000000" w:rsidRPr="003F4CD8" w:rsidRDefault="00711D9B"/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4" w:name="sub_200"/>
      <w:r w:rsidRPr="003F4CD8">
        <w:rPr>
          <w:color w:val="auto"/>
          <w:sz w:val="16"/>
          <w:szCs w:val="16"/>
        </w:rPr>
        <w:t>Информац</w:t>
      </w:r>
      <w:r w:rsidRPr="003F4CD8">
        <w:rPr>
          <w:color w:val="auto"/>
          <w:sz w:val="16"/>
          <w:szCs w:val="16"/>
        </w:rPr>
        <w:t>ия об изменениях:</w:t>
      </w:r>
    </w:p>
    <w:bookmarkEnd w:id="4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 9 декабря 2013 г. N 2215-ст, в раздел 2 внесены измен</w:t>
      </w:r>
      <w:r w:rsidRPr="003F4CD8">
        <w:rPr>
          <w:color w:val="auto"/>
        </w:rPr>
        <w:t>ения, вступающие в силу с 1 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раздела в предыдущей редакции</w:t>
      </w:r>
    </w:p>
    <w:p w:rsidR="00000000" w:rsidRPr="003F4CD8" w:rsidRDefault="00711D9B">
      <w:pPr>
        <w:pStyle w:val="1"/>
        <w:rPr>
          <w:color w:val="auto"/>
        </w:rPr>
      </w:pPr>
      <w:r w:rsidRPr="003F4CD8">
        <w:rPr>
          <w:color w:val="auto"/>
        </w:rPr>
        <w:lastRenderedPageBreak/>
        <w:t>2 Нормативные ссылки</w:t>
      </w:r>
    </w:p>
    <w:p w:rsidR="00000000" w:rsidRPr="003F4CD8" w:rsidRDefault="00711D9B"/>
    <w:p w:rsidR="00000000" w:rsidRPr="003F4CD8" w:rsidRDefault="00711D9B">
      <w:r w:rsidRPr="003F4CD8">
        <w:t>В настоящем стандарте использованы нормативные ссылки на следующие стандарты:</w:t>
      </w:r>
    </w:p>
    <w:p w:rsidR="00000000" w:rsidRPr="003F4CD8" w:rsidRDefault="00711D9B">
      <w:r w:rsidRPr="003F4CD8">
        <w:rPr>
          <w:rStyle w:val="a4"/>
          <w:color w:val="auto"/>
        </w:rPr>
        <w:t>ГОСТ Р 8.585-2001</w:t>
      </w:r>
      <w:r w:rsidRPr="003F4CD8">
        <w:t xml:space="preserve"> Государственная система обеспечения единства измерений. Термопары. Номинальные статические характеристики преобразования.</w:t>
      </w:r>
    </w:p>
    <w:p w:rsidR="00000000" w:rsidRPr="003F4CD8" w:rsidRDefault="00711D9B">
      <w:r w:rsidRPr="003F4CD8">
        <w:rPr>
          <w:rStyle w:val="a4"/>
          <w:color w:val="auto"/>
        </w:rPr>
        <w:t>ГОСТ 12.3.003-86</w:t>
      </w:r>
      <w:r w:rsidRPr="003F4CD8">
        <w:t>. Оборудование производственное. Общие требования безопасности.</w:t>
      </w:r>
    </w:p>
    <w:p w:rsidR="00000000" w:rsidRPr="003F4CD8" w:rsidRDefault="00711D9B">
      <w:r w:rsidRPr="003F4CD8">
        <w:rPr>
          <w:rStyle w:val="a4"/>
          <w:color w:val="auto"/>
        </w:rPr>
        <w:t>ГОСТ Р 12.1.019-2009</w:t>
      </w:r>
      <w:r w:rsidRPr="003F4CD8">
        <w:t xml:space="preserve"> Система стандартов безопасности труда. Электробезопасность. Общие требования и номенклатур</w:t>
      </w:r>
      <w:r w:rsidRPr="003F4CD8">
        <w:t>а видов защиты.</w:t>
      </w:r>
    </w:p>
    <w:p w:rsidR="00000000" w:rsidRPr="003F4CD8" w:rsidRDefault="00711D9B">
      <w:r w:rsidRPr="003F4CD8">
        <w:rPr>
          <w:rStyle w:val="a4"/>
          <w:color w:val="auto"/>
        </w:rPr>
        <w:t>ГОСТ 30247.0-94.</w:t>
      </w:r>
      <w:r w:rsidRPr="003F4CD8">
        <w:t xml:space="preserve"> Конструкции строительные. Методы испытания на огнестойкость. Общие требования.</w:t>
      </w:r>
    </w:p>
    <w:p w:rsidR="00000000" w:rsidRPr="003F4CD8" w:rsidRDefault="00711D9B">
      <w:r w:rsidRPr="003F4CD8">
        <w:rPr>
          <w:rStyle w:val="a4"/>
          <w:color w:val="auto"/>
        </w:rPr>
        <w:t>ГОСТ Р 53307-2009</w:t>
      </w:r>
      <w:r w:rsidRPr="003F4CD8">
        <w:t xml:space="preserve"> Конструкции строительные. Противопожарные двери и ворота. Метод испытаний на огнестойкость.</w:t>
      </w:r>
    </w:p>
    <w:p w:rsidR="00000000" w:rsidRPr="003F4CD8" w:rsidRDefault="00711D9B">
      <w:r w:rsidRPr="003F4CD8">
        <w:rPr>
          <w:rStyle w:val="a3"/>
          <w:color w:val="auto"/>
        </w:rPr>
        <w:t>Примечание</w:t>
      </w:r>
      <w:r w:rsidRPr="003F4CD8">
        <w:t xml:space="preserve"> -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</w:t>
      </w:r>
      <w:r w:rsidRPr="003F4CD8">
        <w:t xml:space="preserve">ия - на </w:t>
      </w:r>
      <w:r w:rsidRPr="003F4CD8">
        <w:rPr>
          <w:rStyle w:val="a4"/>
          <w:color w:val="auto"/>
        </w:rPr>
        <w:t>официальном сайте</w:t>
      </w:r>
      <w:r w:rsidRPr="003F4CD8">
        <w:t xml:space="preserve">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</w:t>
      </w:r>
      <w:r w:rsidRPr="003F4CD8">
        <w:t>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</w:t>
      </w:r>
      <w:r w:rsidRPr="003F4CD8">
        <w:t>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5" w:name="sub_300"/>
      <w:r w:rsidRPr="003F4CD8">
        <w:rPr>
          <w:color w:val="auto"/>
        </w:rPr>
        <w:t>3 Термины и определения</w:t>
      </w:r>
    </w:p>
    <w:bookmarkEnd w:id="5"/>
    <w:p w:rsidR="00000000" w:rsidRPr="003F4CD8" w:rsidRDefault="00711D9B"/>
    <w:p w:rsidR="00000000" w:rsidRPr="003F4CD8" w:rsidRDefault="00711D9B">
      <w:r w:rsidRPr="003F4CD8">
        <w:t>В настоящем стандарте применяютс</w:t>
      </w:r>
      <w:r w:rsidRPr="003F4CD8">
        <w:t>я следующие термины с соответствующими определениями:</w:t>
      </w:r>
    </w:p>
    <w:p w:rsidR="00000000" w:rsidRPr="003F4CD8" w:rsidRDefault="00711D9B">
      <w:bookmarkStart w:id="6" w:name="sub_301"/>
      <w:r w:rsidRPr="003F4CD8">
        <w:t xml:space="preserve">3.1 </w:t>
      </w:r>
      <w:r w:rsidRPr="003F4CD8">
        <w:rPr>
          <w:rStyle w:val="a3"/>
          <w:color w:val="auto"/>
        </w:rPr>
        <w:t>двери дымогазонепроницаемые:</w:t>
      </w:r>
      <w:r w:rsidRPr="003F4CD8">
        <w:t xml:space="preserve"> Противопожарные двери с нормированным сопротивлением дымогазопроницанию.</w:t>
      </w:r>
    </w:p>
    <w:p w:rsidR="00000000" w:rsidRPr="003F4CD8" w:rsidRDefault="00711D9B">
      <w:bookmarkStart w:id="7" w:name="sub_302"/>
      <w:bookmarkEnd w:id="6"/>
      <w:r w:rsidRPr="003F4CD8">
        <w:t xml:space="preserve">3.2 </w:t>
      </w:r>
      <w:r w:rsidRPr="003F4CD8">
        <w:rPr>
          <w:rStyle w:val="a3"/>
          <w:color w:val="auto"/>
        </w:rPr>
        <w:t>Дымогазонепроницаемость:</w:t>
      </w:r>
      <w:r w:rsidRPr="003F4CD8">
        <w:t xml:space="preserve"> Способность конструкции двери ограничивать в з</w:t>
      </w:r>
      <w:r w:rsidRPr="003F4CD8">
        <w:t>аданных пределах фильтрацию продуктов горения при пожаре через неплотности перекрываемого (защищаемого) проема.</w:t>
      </w:r>
    </w:p>
    <w:bookmarkEnd w:id="7"/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8" w:name="sub_400"/>
      <w:r w:rsidRPr="003F4CD8">
        <w:rPr>
          <w:color w:val="auto"/>
        </w:rPr>
        <w:t>4 Критерии предельных состояний</w:t>
      </w:r>
    </w:p>
    <w:bookmarkEnd w:id="8"/>
    <w:p w:rsidR="00000000" w:rsidRPr="003F4CD8" w:rsidRDefault="00711D9B"/>
    <w:p w:rsidR="00000000" w:rsidRPr="003F4CD8" w:rsidRDefault="00711D9B">
      <w:bookmarkStart w:id="9" w:name="sub_401"/>
      <w:r w:rsidRPr="003F4CD8">
        <w:t>4.1 Потеря дымогазонепроницаемости S является одним из предельных состояний констр</w:t>
      </w:r>
      <w:r w:rsidRPr="003F4CD8">
        <w:t>укций дверей по огнестойкости и определяется временем от начала нагрева и нагружения избыточным давлением испытываемой конструкции до момента уменьшения сопротивления дымогазопроницанию этой конструкции ниже минимально допустимого значения.</w:t>
      </w:r>
    </w:p>
    <w:bookmarkEnd w:id="9"/>
    <w:p w:rsidR="00000000" w:rsidRPr="003F4CD8" w:rsidRDefault="00711D9B">
      <w:r w:rsidRPr="003F4CD8">
        <w:lastRenderedPageBreak/>
        <w:t>Обозначе</w:t>
      </w:r>
      <w:r w:rsidRPr="003F4CD8">
        <w:t>ние предела огнестойкости конструкций дверей по данному признаку должно состоять из нормированного обозначения предельного состояния и цифры, соответствующей времени достижения последнего в минутах: S15, S30, S60.</w:t>
      </w:r>
    </w:p>
    <w:p w:rsidR="00000000" w:rsidRPr="003F4CD8" w:rsidRDefault="00711D9B">
      <w:bookmarkStart w:id="10" w:name="sub_402"/>
      <w:r w:rsidRPr="003F4CD8">
        <w:t>4.2 Удельное сопротивление дымогазо</w:t>
      </w:r>
      <w:r w:rsidRPr="003F4CD8">
        <w:t xml:space="preserve">проницанию конструкций дверей различных типоразмеров не должно быть менее </w:t>
      </w:r>
      <w:r w:rsidR="003F4CD8">
        <w:rPr>
          <w:noProof/>
        </w:rPr>
        <w:drawing>
          <wp:inline distT="0" distB="0" distL="0" distR="0">
            <wp:extent cx="668020" cy="255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D8">
        <w:t xml:space="preserve"> </w:t>
      </w:r>
      <w:r w:rsidR="003F4CD8">
        <w:rPr>
          <w:noProof/>
        </w:rPr>
        <w:drawing>
          <wp:inline distT="0" distB="0" distL="0" distR="0">
            <wp:extent cx="439420" cy="2552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D8">
        <w:t>.</w:t>
      </w:r>
    </w:p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11" w:name="sub_403"/>
      <w:bookmarkEnd w:id="10"/>
      <w:r w:rsidRPr="003F4CD8">
        <w:rPr>
          <w:color w:val="auto"/>
          <w:sz w:val="16"/>
          <w:szCs w:val="16"/>
        </w:rPr>
        <w:t>Информация об изменениях:</w:t>
      </w:r>
    </w:p>
    <w:bookmarkEnd w:id="11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</w:t>
      </w:r>
      <w:r w:rsidRPr="003F4CD8">
        <w:rPr>
          <w:rStyle w:val="a4"/>
          <w:color w:val="auto"/>
        </w:rPr>
        <w:t>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 9 декабря 2013 г. N 2215-ст, в пункт 4.3 внесены изменения, вступающие в силу с 1 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пункта в предыдущей редакции</w:t>
      </w:r>
    </w:p>
    <w:p w:rsidR="00000000" w:rsidRPr="003F4CD8" w:rsidRDefault="00711D9B">
      <w:r w:rsidRPr="003F4CD8">
        <w:t>4.3 Предельные состояния дверей по потере целостности Е, теплоизолирующей способности l и по достижению предельной величины плотности теплового потока W должны быть определены согласно требовани</w:t>
      </w:r>
      <w:r w:rsidRPr="003F4CD8">
        <w:t xml:space="preserve">ям </w:t>
      </w:r>
      <w:r w:rsidRPr="003F4CD8">
        <w:rPr>
          <w:rStyle w:val="a4"/>
          <w:color w:val="auto"/>
        </w:rPr>
        <w:t>ГОСТ Р 53307</w:t>
      </w:r>
      <w:r w:rsidRPr="003F4CD8">
        <w:t xml:space="preserve">, </w:t>
      </w:r>
      <w:r w:rsidRPr="003F4CD8">
        <w:rPr>
          <w:rStyle w:val="a4"/>
          <w:color w:val="auto"/>
        </w:rPr>
        <w:t>ГОСТ Р 53308</w:t>
      </w:r>
      <w:r w:rsidRPr="003F4CD8">
        <w:t xml:space="preserve"> предварительно перед проведением испытаний на дымогазопроницаемость по настоящему стандарту.</w:t>
      </w:r>
    </w:p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12" w:name="sub_500"/>
      <w:r w:rsidRPr="003F4CD8">
        <w:rPr>
          <w:color w:val="auto"/>
        </w:rPr>
        <w:t xml:space="preserve">5 </w:t>
      </w:r>
      <w:r w:rsidRPr="003F4CD8">
        <w:rPr>
          <w:color w:val="auto"/>
        </w:rPr>
        <w:t>Сущность метода и режимы испытания</w:t>
      </w:r>
    </w:p>
    <w:bookmarkEnd w:id="12"/>
    <w:p w:rsidR="00000000" w:rsidRPr="003F4CD8" w:rsidRDefault="00711D9B"/>
    <w:p w:rsidR="00000000" w:rsidRPr="003F4CD8" w:rsidRDefault="00711D9B">
      <w:bookmarkStart w:id="13" w:name="sub_501"/>
      <w:r w:rsidRPr="003F4CD8">
        <w:t xml:space="preserve">5.1 Испытание заключается в определении времени наступления предельного состояния испытываемой конструкции по потере дымогазонепроницаемости согласно </w:t>
      </w:r>
      <w:r w:rsidRPr="003F4CD8">
        <w:rPr>
          <w:rStyle w:val="a4"/>
          <w:color w:val="auto"/>
        </w:rPr>
        <w:t>4.1</w:t>
      </w:r>
      <w:r w:rsidRPr="003F4CD8">
        <w:t xml:space="preserve">, </w:t>
      </w:r>
      <w:r w:rsidRPr="003F4CD8">
        <w:rPr>
          <w:rStyle w:val="a4"/>
          <w:color w:val="auto"/>
        </w:rPr>
        <w:t>4.2</w:t>
      </w:r>
      <w:r w:rsidRPr="003F4CD8">
        <w:t xml:space="preserve"> при одностороннем нагреве конструкции и нагружении ее избыточным давлением.</w:t>
      </w:r>
    </w:p>
    <w:p w:rsidR="00000000" w:rsidRPr="003F4CD8" w:rsidRDefault="00711D9B">
      <w:bookmarkStart w:id="14" w:name="sub_502"/>
      <w:bookmarkEnd w:id="13"/>
      <w:r w:rsidRPr="003F4CD8">
        <w:t>5.2 Нагрев конструкций противопожарных дверей в испытании на дымогазопроницаемость осуществляется в соответствии со стандартным температурным режимом с допустимыми</w:t>
      </w:r>
      <w:r w:rsidRPr="003F4CD8">
        <w:t xml:space="preserve"> отклонениями температуры по </w:t>
      </w:r>
      <w:r w:rsidRPr="003F4CD8">
        <w:rPr>
          <w:rStyle w:val="a4"/>
          <w:color w:val="auto"/>
        </w:rPr>
        <w:t>ГОСТ 30247.0</w:t>
      </w:r>
      <w:r w:rsidRPr="003F4CD8">
        <w:t>.</w:t>
      </w:r>
    </w:p>
    <w:p w:rsidR="00000000" w:rsidRPr="003F4CD8" w:rsidRDefault="00711D9B">
      <w:bookmarkStart w:id="15" w:name="sub_503"/>
      <w:bookmarkEnd w:id="14"/>
      <w:r w:rsidRPr="003F4CD8">
        <w:t xml:space="preserve">5.3 В испытаниях по </w:t>
      </w:r>
      <w:r w:rsidRPr="003F4CD8">
        <w:rPr>
          <w:rStyle w:val="a4"/>
          <w:color w:val="auto"/>
        </w:rPr>
        <w:t>5.1</w:t>
      </w:r>
      <w:r w:rsidRPr="003F4CD8">
        <w:t xml:space="preserve">, </w:t>
      </w:r>
      <w:r w:rsidRPr="003F4CD8">
        <w:rPr>
          <w:rStyle w:val="a4"/>
          <w:color w:val="auto"/>
        </w:rPr>
        <w:t>5.2</w:t>
      </w:r>
      <w:r w:rsidRPr="003F4CD8">
        <w:t xml:space="preserve"> на конструкции двери поддерживается разность давлений 70 </w:t>
      </w:r>
      <w:r w:rsidRPr="003F4CD8">
        <w:t>Па, причем меньшее давление устанавливается с необогреваемой стороны двери.</w:t>
      </w:r>
    </w:p>
    <w:bookmarkEnd w:id="15"/>
    <w:p w:rsidR="00000000" w:rsidRPr="003F4CD8" w:rsidRDefault="00711D9B">
      <w:r w:rsidRPr="003F4CD8">
        <w:t xml:space="preserve">Допустимое отклонение разности давлений на конструкции двери в процессе испытания не должно превышать </w:t>
      </w:r>
      <w:r w:rsidR="003F4CD8">
        <w:rPr>
          <w:noProof/>
        </w:rPr>
        <w:drawing>
          <wp:inline distT="0" distB="0" distL="0" distR="0">
            <wp:extent cx="351790" cy="2019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D8">
        <w:t>%.</w:t>
      </w:r>
    </w:p>
    <w:p w:rsidR="00000000" w:rsidRPr="003F4CD8" w:rsidRDefault="00711D9B">
      <w:bookmarkStart w:id="16" w:name="sub_504"/>
      <w:r w:rsidRPr="003F4CD8">
        <w:t>5</w:t>
      </w:r>
      <w:r w:rsidRPr="003F4CD8">
        <w:t xml:space="preserve">.4 Режимы испытания дверей на дымогазопроницаемость по </w:t>
      </w:r>
      <w:r w:rsidRPr="003F4CD8">
        <w:rPr>
          <w:rStyle w:val="a4"/>
          <w:color w:val="auto"/>
        </w:rPr>
        <w:t>5.1 - 5.3</w:t>
      </w:r>
      <w:r w:rsidRPr="003F4CD8">
        <w:t xml:space="preserve"> могут быть изменены для конструкций уникального назначения при наличии обоснования.</w:t>
      </w:r>
    </w:p>
    <w:bookmarkEnd w:id="16"/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17" w:name="sub_600"/>
      <w:r w:rsidRPr="003F4CD8">
        <w:rPr>
          <w:color w:val="auto"/>
        </w:rPr>
        <w:t>6 Стендовое оборудование и измерительная аппаратура</w:t>
      </w:r>
    </w:p>
    <w:bookmarkEnd w:id="17"/>
    <w:p w:rsidR="00000000" w:rsidRPr="003F4CD8" w:rsidRDefault="00711D9B"/>
    <w:p w:rsidR="00000000" w:rsidRPr="003F4CD8" w:rsidRDefault="00711D9B">
      <w:bookmarkStart w:id="18" w:name="sub_601"/>
      <w:r w:rsidRPr="003F4CD8">
        <w:t>6.1 Стенд для испытания дверей на дымогазопроницаемость состоит из печи внутренним размером не менее 2,5h х 2,0 х 2,0 м с проемом во фронтальной стенке не менее 2,5h x 2,0 м, перекрытым газосборной камерой, к которой подсоединена система поддержания и регу</w:t>
      </w:r>
      <w:r w:rsidRPr="003F4CD8">
        <w:t>лирования разности давлений.</w:t>
      </w:r>
    </w:p>
    <w:bookmarkEnd w:id="18"/>
    <w:p w:rsidR="00000000" w:rsidRPr="003F4CD8" w:rsidRDefault="00711D9B">
      <w:r w:rsidRPr="003F4CD8">
        <w:t xml:space="preserve">Печь должна быть оборудована форсунками, обеспечивающими тепловой режим по </w:t>
      </w:r>
      <w:r w:rsidRPr="003F4CD8">
        <w:rPr>
          <w:rStyle w:val="a4"/>
          <w:color w:val="auto"/>
        </w:rPr>
        <w:t>5.2</w:t>
      </w:r>
      <w:r w:rsidRPr="003F4CD8">
        <w:t>.</w:t>
      </w:r>
    </w:p>
    <w:p w:rsidR="00000000" w:rsidRPr="003F4CD8" w:rsidRDefault="00711D9B">
      <w:r w:rsidRPr="003F4CD8">
        <w:lastRenderedPageBreak/>
        <w:t>Система поддержания и регулирования давлений на конструкции двери состоит из вентилятора с обвязкой и регулирующими</w:t>
      </w:r>
      <w:r w:rsidRPr="003F4CD8">
        <w:t xml:space="preserve"> заслонками и мерного участка с расходомерным устройством.</w:t>
      </w:r>
    </w:p>
    <w:p w:rsidR="00000000" w:rsidRPr="003F4CD8" w:rsidRDefault="00711D9B">
      <w:r w:rsidRPr="003F4CD8">
        <w:t xml:space="preserve">Технические характеристики системы поддержания и регулирования разности давлений подбираются с учетом установленной по </w:t>
      </w:r>
      <w:r w:rsidRPr="003F4CD8">
        <w:rPr>
          <w:rStyle w:val="a4"/>
          <w:color w:val="auto"/>
        </w:rPr>
        <w:t>4.5</w:t>
      </w:r>
      <w:r w:rsidRPr="003F4CD8">
        <w:t xml:space="preserve"> разности давлений на конструкции двери.</w:t>
      </w:r>
    </w:p>
    <w:p w:rsidR="00000000" w:rsidRPr="003F4CD8" w:rsidRDefault="00711D9B">
      <w:pPr>
        <w:pStyle w:val="afa"/>
        <w:rPr>
          <w:color w:val="auto"/>
          <w:sz w:val="16"/>
          <w:szCs w:val="16"/>
        </w:rPr>
      </w:pPr>
      <w:r w:rsidRPr="003F4CD8">
        <w:rPr>
          <w:color w:val="auto"/>
          <w:sz w:val="16"/>
          <w:szCs w:val="16"/>
        </w:rPr>
        <w:t>ГАРАНТ:</w:t>
      </w:r>
    </w:p>
    <w:p w:rsidR="00000000" w:rsidRPr="003F4CD8" w:rsidRDefault="00711D9B">
      <w:pPr>
        <w:pStyle w:val="afa"/>
        <w:rPr>
          <w:color w:val="auto"/>
        </w:rPr>
      </w:pPr>
      <w:r w:rsidRPr="003F4CD8">
        <w:rPr>
          <w:color w:val="auto"/>
        </w:rPr>
        <w:t>П</w:t>
      </w:r>
      <w:r w:rsidRPr="003F4CD8">
        <w:rPr>
          <w:color w:val="auto"/>
        </w:rPr>
        <w:t xml:space="preserve">о-видимому, в тексте предыдущего абзаца допущена опечатка. Имеется в виду </w:t>
      </w:r>
      <w:r w:rsidRPr="003F4CD8">
        <w:rPr>
          <w:rStyle w:val="a4"/>
          <w:color w:val="auto"/>
        </w:rPr>
        <w:t>п. 5.4</w:t>
      </w:r>
    </w:p>
    <w:p w:rsidR="00000000" w:rsidRPr="003F4CD8" w:rsidRDefault="00711D9B">
      <w:pPr>
        <w:pStyle w:val="afa"/>
        <w:rPr>
          <w:color w:val="auto"/>
        </w:rPr>
      </w:pPr>
    </w:p>
    <w:p w:rsidR="00000000" w:rsidRPr="003F4CD8" w:rsidRDefault="00711D9B">
      <w:bookmarkStart w:id="19" w:name="sub_602"/>
      <w:r w:rsidRPr="003F4CD8">
        <w:t xml:space="preserve">6.2 Испытательный стенд оснащается средствами измерения температуры, расхода и статического давления газов (обязательное </w:t>
      </w:r>
      <w:r w:rsidRPr="003F4CD8">
        <w:rPr>
          <w:rStyle w:val="a4"/>
          <w:color w:val="auto"/>
        </w:rPr>
        <w:t>приложение А</w:t>
      </w:r>
      <w:r w:rsidRPr="003F4CD8">
        <w:t>).</w:t>
      </w:r>
    </w:p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20" w:name="sub_603"/>
      <w:bookmarkEnd w:id="19"/>
      <w:r w:rsidRPr="003F4CD8">
        <w:rPr>
          <w:color w:val="auto"/>
          <w:sz w:val="16"/>
          <w:szCs w:val="16"/>
        </w:rPr>
        <w:t>Информация об изменениях:</w:t>
      </w:r>
    </w:p>
    <w:bookmarkEnd w:id="20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 9</w:t>
      </w:r>
      <w:r w:rsidRPr="003F4CD8">
        <w:rPr>
          <w:color w:val="auto"/>
        </w:rPr>
        <w:t xml:space="preserve"> декабря 2013 г. N 2215-ст, в пункт 6.3 внесены изменения, вступающие в силу с 1 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пункта в предыдущей редакции</w:t>
      </w:r>
    </w:p>
    <w:p w:rsidR="00000000" w:rsidRPr="003F4CD8" w:rsidRDefault="00711D9B">
      <w:r w:rsidRPr="003F4CD8">
        <w:t>6.3 Для измерения температуры в печи используются термо</w:t>
      </w:r>
      <w:r w:rsidRPr="003F4CD8">
        <w:t xml:space="preserve">электрические преобразователи (ТЭП) типа ТХА (класс допуска 2 согласно ГОСТ 6616-94) с диаметром электродов от 1,2 до 3,0 мм. Количество и расстановка термоэлектрических преобразователей относительно конструкции двери принимаются по </w:t>
      </w:r>
      <w:r w:rsidRPr="003F4CD8">
        <w:rPr>
          <w:rStyle w:val="a4"/>
          <w:color w:val="auto"/>
        </w:rPr>
        <w:t>ГОСТ 30247.0</w:t>
      </w:r>
      <w:r w:rsidRPr="003F4CD8">
        <w:t>.</w:t>
      </w:r>
    </w:p>
    <w:p w:rsidR="00000000" w:rsidRPr="003F4CD8" w:rsidRDefault="00711D9B">
      <w:bookmarkStart w:id="21" w:name="sub_6031"/>
      <w:r w:rsidRPr="003F4CD8">
        <w:t xml:space="preserve">Номинальные статические характеристики и пределы допускаемых отклонений термоэлектродвижущей силы (т.э.д.с.) ТЭП должны соответствовать </w:t>
      </w:r>
      <w:r w:rsidRPr="003F4CD8">
        <w:rPr>
          <w:rStyle w:val="a4"/>
          <w:color w:val="auto"/>
        </w:rPr>
        <w:t>Г</w:t>
      </w:r>
      <w:r w:rsidRPr="003F4CD8">
        <w:rPr>
          <w:rStyle w:val="a4"/>
          <w:color w:val="auto"/>
        </w:rPr>
        <w:t>ОСТ Р 8.585</w:t>
      </w:r>
      <w:r w:rsidRPr="003F4CD8">
        <w:t>.</w:t>
      </w:r>
    </w:p>
    <w:p w:rsidR="00000000" w:rsidRPr="003F4CD8" w:rsidRDefault="00711D9B">
      <w:bookmarkStart w:id="22" w:name="sub_604"/>
      <w:bookmarkEnd w:id="21"/>
      <w:r w:rsidRPr="003F4CD8">
        <w:t>6.4 Для регистрации измеряемых температур следует применять приборы класса точности не ниже 1,0.</w:t>
      </w:r>
    </w:p>
    <w:p w:rsidR="00000000" w:rsidRPr="003F4CD8" w:rsidRDefault="00711D9B">
      <w:bookmarkStart w:id="23" w:name="sub_605"/>
      <w:bookmarkEnd w:id="22"/>
      <w:r w:rsidRPr="003F4CD8">
        <w:t>6.5 Для измерения расхода газов, удаляемых из газосборной камеры, используются стандартные расходомерные устройств</w:t>
      </w:r>
      <w:r w:rsidRPr="003F4CD8">
        <w:t xml:space="preserve">а, позволяющие измерять расходы в диапазоне от 0,01 до 1,00 </w:t>
      </w:r>
      <w:r w:rsidR="003F4CD8">
        <w:rPr>
          <w:noProof/>
        </w:rPr>
        <w:drawing>
          <wp:inline distT="0" distB="0" distL="0" distR="0">
            <wp:extent cx="369570" cy="2552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D8">
        <w:t>.</w:t>
      </w:r>
    </w:p>
    <w:bookmarkEnd w:id="23"/>
    <w:p w:rsidR="00000000" w:rsidRPr="003F4CD8" w:rsidRDefault="00711D9B">
      <w:r w:rsidRPr="003F4CD8">
        <w:t>Допускается использование нестандартных устройств согласно [</w:t>
      </w:r>
      <w:r w:rsidRPr="003F4CD8">
        <w:rPr>
          <w:rStyle w:val="a4"/>
          <w:color w:val="auto"/>
        </w:rPr>
        <w:t>3</w:t>
      </w:r>
      <w:r w:rsidRPr="003F4CD8">
        <w:t>] при наличии тарировочных характеристик, полученных в установле</w:t>
      </w:r>
      <w:r w:rsidRPr="003F4CD8">
        <w:t>нном порядке.</w:t>
      </w:r>
    </w:p>
    <w:p w:rsidR="00000000" w:rsidRPr="003F4CD8" w:rsidRDefault="00711D9B">
      <w:bookmarkStart w:id="24" w:name="sub_606"/>
      <w:r w:rsidRPr="003F4CD8">
        <w:t>6.6 Для регистрации давления газовой среды, в том числе на расходомерной диафрагме, следует применять приборы (манометры, микроманометры) класса точности не ниже 1,0.</w:t>
      </w:r>
    </w:p>
    <w:p w:rsidR="00000000" w:rsidRPr="003F4CD8" w:rsidRDefault="00711D9B">
      <w:bookmarkStart w:id="25" w:name="sub_607"/>
      <w:bookmarkEnd w:id="24"/>
      <w:r w:rsidRPr="003F4CD8">
        <w:t>6.7 Для измерения интервалов времени должен использова</w:t>
      </w:r>
      <w:r w:rsidRPr="003F4CD8">
        <w:t>ться секундомер класса точности не ниже 2,0.</w:t>
      </w:r>
    </w:p>
    <w:bookmarkEnd w:id="25"/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26" w:name="sub_700"/>
      <w:r w:rsidRPr="003F4CD8">
        <w:rPr>
          <w:color w:val="auto"/>
        </w:rPr>
        <w:t>7 Подготовка к испытаниям</w:t>
      </w:r>
    </w:p>
    <w:bookmarkEnd w:id="26"/>
    <w:p w:rsidR="00000000" w:rsidRPr="003F4CD8" w:rsidRDefault="00711D9B"/>
    <w:p w:rsidR="00000000" w:rsidRPr="003F4CD8" w:rsidRDefault="00711D9B">
      <w:bookmarkStart w:id="27" w:name="sub_701"/>
      <w:r w:rsidRPr="003F4CD8">
        <w:t>7.1 На испытания представляются двери с комплектом технико-эксплуатационной документации:</w:t>
      </w:r>
    </w:p>
    <w:bookmarkEnd w:id="27"/>
    <w:p w:rsidR="00000000" w:rsidRPr="003F4CD8" w:rsidRDefault="00711D9B">
      <w:r w:rsidRPr="003F4CD8">
        <w:t>- технические условия на изделие;</w:t>
      </w:r>
    </w:p>
    <w:p w:rsidR="00000000" w:rsidRPr="003F4CD8" w:rsidRDefault="00711D9B">
      <w:r w:rsidRPr="003F4CD8">
        <w:t>- чертежи со спецификаци</w:t>
      </w:r>
      <w:r w:rsidRPr="003F4CD8">
        <w:t xml:space="preserve">ей используемых в изделии материалов с </w:t>
      </w:r>
      <w:r w:rsidRPr="003F4CD8">
        <w:lastRenderedPageBreak/>
        <w:t>указанием соответствующей нормативно-технической документации;</w:t>
      </w:r>
    </w:p>
    <w:p w:rsidR="00000000" w:rsidRPr="003F4CD8" w:rsidRDefault="00711D9B">
      <w:r w:rsidRPr="003F4CD8">
        <w:t>- техническое описание конструкции, включающее наименование и назначение изделия, сторону нагрева, размеры дверного полотна, коробки, зазоров, основных у</w:t>
      </w:r>
      <w:r w:rsidRPr="003F4CD8">
        <w:t>злов и деталей; толщину каждого составляющего слоя по толщине полотна (в том числе изоляции, обшивки, облицовки);</w:t>
      </w:r>
    </w:p>
    <w:p w:rsidR="00000000" w:rsidRPr="003F4CD8" w:rsidRDefault="00711D9B">
      <w:r w:rsidRPr="003F4CD8">
        <w:t>- паспорт на изделие;</w:t>
      </w:r>
    </w:p>
    <w:p w:rsidR="00000000" w:rsidRPr="003F4CD8" w:rsidRDefault="00711D9B">
      <w:r w:rsidRPr="003F4CD8">
        <w:t>- инструкция по монтажу.</w:t>
      </w:r>
    </w:p>
    <w:p w:rsidR="00000000" w:rsidRPr="003F4CD8" w:rsidRDefault="00711D9B">
      <w:r w:rsidRPr="003F4CD8">
        <w:t>Двери представляются к испытаниям на дымогазопроницаемость в количестве двух экземпляров.</w:t>
      </w:r>
    </w:p>
    <w:p w:rsidR="00000000" w:rsidRPr="003F4CD8" w:rsidRDefault="00711D9B">
      <w:bookmarkStart w:id="28" w:name="sub_702"/>
      <w:r w:rsidRPr="003F4CD8">
        <w:t>7.2 Для проведения испытаний образец устанавливается в проеме печи с соблюдением технологии, предусмотренной технико-эксплуатационной документацией. При необходимости подгонка проема под монтажный размер производится омоноличиванием бетоном класса не ниж</w:t>
      </w:r>
      <w:r w:rsidRPr="003F4CD8">
        <w:t>е В3.5 [</w:t>
      </w:r>
      <w:r w:rsidRPr="003F4CD8">
        <w:rPr>
          <w:rStyle w:val="a4"/>
          <w:color w:val="auto"/>
        </w:rPr>
        <w:t>2</w:t>
      </w:r>
      <w:r w:rsidRPr="003F4CD8">
        <w:t>].</w:t>
      </w:r>
    </w:p>
    <w:bookmarkEnd w:id="28"/>
    <w:p w:rsidR="00000000" w:rsidRPr="003F4CD8" w:rsidRDefault="00711D9B">
      <w:r w:rsidRPr="003F4CD8">
        <w:t>Образец для испытаний устанавливается в соответствии с инструкцией по монтажу заказчиком или специализированной организацией, имеющей допуск.</w:t>
      </w:r>
    </w:p>
    <w:p w:rsidR="00000000" w:rsidRPr="003F4CD8" w:rsidRDefault="00711D9B">
      <w:bookmarkStart w:id="29" w:name="sub_703"/>
      <w:r w:rsidRPr="003F4CD8">
        <w:t>7.3 После установки образца проводится наработка эксплуатацио</w:t>
      </w:r>
      <w:r w:rsidRPr="003F4CD8">
        <w:t>нного износа путем открывания и закрывания полотна (полотен) двери. Число циклов открывания-закрывания - не менее 50, угол открывания полотна (полотен) - не менее 90°.</w:t>
      </w:r>
    </w:p>
    <w:p w:rsidR="00000000" w:rsidRPr="003F4CD8" w:rsidRDefault="00711D9B">
      <w:bookmarkStart w:id="30" w:name="sub_704"/>
      <w:bookmarkEnd w:id="29"/>
      <w:r w:rsidRPr="003F4CD8">
        <w:t>7.4 Непосредственно перед испытанием проверяется плотность системы поддерж</w:t>
      </w:r>
      <w:r w:rsidRPr="003F4CD8">
        <w:t xml:space="preserve">ания и регулирования давлений, для чего образец блокируется газонепроницаемым материалом и на нем создается разность давлений по </w:t>
      </w:r>
      <w:r w:rsidRPr="003F4CD8">
        <w:rPr>
          <w:rStyle w:val="a4"/>
          <w:color w:val="auto"/>
        </w:rPr>
        <w:t>5.3</w:t>
      </w:r>
      <w:r w:rsidRPr="003F4CD8">
        <w:t>.</w:t>
      </w:r>
    </w:p>
    <w:bookmarkEnd w:id="30"/>
    <w:p w:rsidR="00000000" w:rsidRPr="003F4CD8" w:rsidRDefault="00711D9B">
      <w:r w:rsidRPr="003F4CD8">
        <w:t>Плотность системы считается удовлетворительной, если расход воздуха в мерном устройстве не</w:t>
      </w:r>
      <w:r w:rsidRPr="003F4CD8">
        <w:t xml:space="preserve"> превышает 0,01 кг/с.</w:t>
      </w:r>
    </w:p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31" w:name="sub_800"/>
      <w:r w:rsidRPr="003F4CD8">
        <w:rPr>
          <w:color w:val="auto"/>
        </w:rPr>
        <w:t>8 Последовательность проведения испытаний</w:t>
      </w:r>
    </w:p>
    <w:bookmarkEnd w:id="31"/>
    <w:p w:rsidR="00000000" w:rsidRPr="003F4CD8" w:rsidRDefault="00711D9B"/>
    <w:p w:rsidR="00000000" w:rsidRPr="003F4CD8" w:rsidRDefault="00711D9B">
      <w:bookmarkStart w:id="32" w:name="sub_801"/>
      <w:r w:rsidRPr="003F4CD8">
        <w:t>8.1 Испытание должно проводиться при температуре окружающей среды от 0°С до 40°С, если условия применения дверей не предусматривают других требований.</w:t>
      </w:r>
    </w:p>
    <w:p w:rsidR="00000000" w:rsidRPr="003F4CD8" w:rsidRDefault="00711D9B">
      <w:bookmarkStart w:id="33" w:name="sub_802"/>
      <w:bookmarkEnd w:id="32"/>
      <w:r w:rsidRPr="003F4CD8">
        <w:t xml:space="preserve">8.2 </w:t>
      </w:r>
      <w:r w:rsidRPr="003F4CD8">
        <w:t>Начало испытания соответствует моменту включения форсунок печи.</w:t>
      </w:r>
    </w:p>
    <w:p w:rsidR="00000000" w:rsidRPr="003F4CD8" w:rsidRDefault="00711D9B">
      <w:bookmarkStart w:id="34" w:name="sub_803"/>
      <w:bookmarkEnd w:id="33"/>
      <w:r w:rsidRPr="003F4CD8">
        <w:t xml:space="preserve">8.3 Регулирование разности давлений на образце по </w:t>
      </w:r>
      <w:r w:rsidRPr="003F4CD8">
        <w:rPr>
          <w:rStyle w:val="a4"/>
          <w:color w:val="auto"/>
        </w:rPr>
        <w:t>5.3</w:t>
      </w:r>
      <w:r w:rsidRPr="003F4CD8">
        <w:t xml:space="preserve"> производится непосредственно после начала испытания или после срабатывания устройств закрывания (дл</w:t>
      </w:r>
      <w:r w:rsidRPr="003F4CD8">
        <w:t>я дверей, снабженных автоматическими устройствами закрывания при пожаре) путем регулирования подачи вентилятора.</w:t>
      </w:r>
    </w:p>
    <w:p w:rsidR="00000000" w:rsidRPr="003F4CD8" w:rsidRDefault="00711D9B">
      <w:bookmarkStart w:id="35" w:name="sub_804"/>
      <w:bookmarkEnd w:id="34"/>
      <w:r w:rsidRPr="003F4CD8">
        <w:t>8.4 В процессе испытания фиксируются:</w:t>
      </w:r>
    </w:p>
    <w:bookmarkEnd w:id="35"/>
    <w:p w:rsidR="00000000" w:rsidRPr="003F4CD8" w:rsidRDefault="00711D9B">
      <w:r w:rsidRPr="003F4CD8">
        <w:t>время срабатывания автоматических устройств закрывания;</w:t>
      </w:r>
    </w:p>
    <w:p w:rsidR="00000000" w:rsidRPr="003F4CD8" w:rsidRDefault="00711D9B">
      <w:r w:rsidRPr="003F4CD8">
        <w:t>непрерывно или дискретно с и</w:t>
      </w:r>
      <w:r w:rsidRPr="003F4CD8">
        <w:t>нтервалом не более 2 мин текущее значение температуры среды в печи;</w:t>
      </w:r>
    </w:p>
    <w:p w:rsidR="00000000" w:rsidRPr="003F4CD8" w:rsidRDefault="00711D9B">
      <w:r w:rsidRPr="003F4CD8">
        <w:t>непрерывно или дискретно с интервалом не более 2 мин текущее значение разности давлений на образце;</w:t>
      </w:r>
    </w:p>
    <w:p w:rsidR="00000000" w:rsidRPr="003F4CD8" w:rsidRDefault="00711D9B">
      <w:r w:rsidRPr="003F4CD8">
        <w:t>непрерывно или дискретно с интервалом не более 2 мин текущее значение температуры и расх</w:t>
      </w:r>
      <w:r w:rsidRPr="003F4CD8">
        <w:t>ода газов, проходящих через мерную диафрагму.</w:t>
      </w:r>
    </w:p>
    <w:p w:rsidR="00000000" w:rsidRPr="003F4CD8" w:rsidRDefault="00711D9B">
      <w:r w:rsidRPr="003F4CD8">
        <w:t>Визуально в течение испытания контролируется состояние конструкции двери, появление и характер деформации, другие изменения.</w:t>
      </w:r>
    </w:p>
    <w:p w:rsidR="00000000" w:rsidRPr="003F4CD8" w:rsidRDefault="00711D9B">
      <w:bookmarkStart w:id="36" w:name="sub_805"/>
      <w:r w:rsidRPr="003F4CD8">
        <w:lastRenderedPageBreak/>
        <w:t xml:space="preserve">8.5 Испытание продолжается до наступления предельного состояния по </w:t>
      </w:r>
      <w:r w:rsidRPr="003F4CD8">
        <w:rPr>
          <w:rStyle w:val="a4"/>
          <w:color w:val="auto"/>
        </w:rPr>
        <w:t>4.1</w:t>
      </w:r>
      <w:r w:rsidRPr="003F4CD8">
        <w:t xml:space="preserve">, </w:t>
      </w:r>
      <w:r w:rsidRPr="003F4CD8">
        <w:rPr>
          <w:rStyle w:val="a4"/>
          <w:color w:val="auto"/>
        </w:rPr>
        <w:t>4.2</w:t>
      </w:r>
      <w:r w:rsidRPr="003F4CD8">
        <w:t>.</w:t>
      </w:r>
    </w:p>
    <w:p w:rsidR="00000000" w:rsidRPr="003F4CD8" w:rsidRDefault="00711D9B">
      <w:bookmarkStart w:id="37" w:name="sub_806"/>
      <w:bookmarkEnd w:id="36"/>
      <w:r w:rsidRPr="003F4CD8">
        <w:t xml:space="preserve">8.6 Испытание по </w:t>
      </w:r>
      <w:r w:rsidRPr="003F4CD8">
        <w:rPr>
          <w:rStyle w:val="a4"/>
          <w:color w:val="auto"/>
        </w:rPr>
        <w:t>8.1 - 8.3</w:t>
      </w:r>
      <w:r w:rsidRPr="003F4CD8">
        <w:t xml:space="preserve"> проводится последовательно на двух образцах, обогрев одного из которых проводится со стороны петель навески полотен, другого - с противополож</w:t>
      </w:r>
      <w:r w:rsidRPr="003F4CD8">
        <w:t>ной стороны.</w:t>
      </w:r>
    </w:p>
    <w:bookmarkEnd w:id="37"/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38" w:name="sub_900"/>
      <w:r w:rsidRPr="003F4CD8">
        <w:rPr>
          <w:color w:val="auto"/>
        </w:rPr>
        <w:t>9 Обработка результатов измерений</w:t>
      </w:r>
    </w:p>
    <w:bookmarkEnd w:id="38"/>
    <w:p w:rsidR="00000000" w:rsidRPr="003F4CD8" w:rsidRDefault="00711D9B"/>
    <w:p w:rsidR="00000000" w:rsidRPr="003F4CD8" w:rsidRDefault="00711D9B">
      <w:bookmarkStart w:id="39" w:name="sub_901"/>
      <w:r w:rsidRPr="003F4CD8">
        <w:t xml:space="preserve">9.1 Температура в печи и величина отклонения определяются по </w:t>
      </w:r>
      <w:r w:rsidRPr="003F4CD8">
        <w:rPr>
          <w:rStyle w:val="a4"/>
          <w:color w:val="auto"/>
        </w:rPr>
        <w:t>ГОСТ 30247.0</w:t>
      </w:r>
      <w:r w:rsidRPr="003F4CD8">
        <w:t>.</w:t>
      </w:r>
    </w:p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40" w:name="sub_902"/>
      <w:bookmarkEnd w:id="39"/>
      <w:r w:rsidRPr="003F4CD8">
        <w:rPr>
          <w:color w:val="auto"/>
          <w:sz w:val="16"/>
          <w:szCs w:val="16"/>
        </w:rPr>
        <w:t>Информация об изменениях:</w:t>
      </w:r>
    </w:p>
    <w:bookmarkEnd w:id="40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 9 декабря 2013 г. N 2215-ст, пункт 9.2 изложен в новой редакции, вступа</w:t>
      </w:r>
      <w:r w:rsidRPr="003F4CD8">
        <w:rPr>
          <w:color w:val="auto"/>
        </w:rPr>
        <w:t>ющей в силу с 1 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пункта в предыдущей редакции</w:t>
      </w:r>
    </w:p>
    <w:p w:rsidR="00000000" w:rsidRPr="003F4CD8" w:rsidRDefault="00711D9B">
      <w:r w:rsidRPr="003F4CD8">
        <w:t xml:space="preserve">9.2 Приведенное значение удельного сопротивления дымогазопроницанию </w:t>
      </w:r>
      <w:r w:rsidR="003F4CD8">
        <w:rPr>
          <w:noProof/>
        </w:rPr>
        <w:drawing>
          <wp:inline distT="0" distB="0" distL="0" distR="0">
            <wp:extent cx="237490" cy="2374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D8">
        <w:t>, рассчитывают по</w:t>
      </w:r>
      <w:r w:rsidRPr="003F4CD8">
        <w:t xml:space="preserve"> формуле</w:t>
      </w:r>
    </w:p>
    <w:p w:rsidR="00000000" w:rsidRPr="003F4CD8" w:rsidRDefault="00711D9B"/>
    <w:p w:rsidR="00000000" w:rsidRPr="003F4CD8" w:rsidRDefault="003F4CD8">
      <w:pPr>
        <w:ind w:firstLine="698"/>
        <w:jc w:val="center"/>
      </w:pPr>
      <w:bookmarkStart w:id="41" w:name="sub_911"/>
      <w:r>
        <w:rPr>
          <w:noProof/>
        </w:rPr>
        <w:drawing>
          <wp:inline distT="0" distB="0" distL="0" distR="0">
            <wp:extent cx="1793875" cy="1063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9B" w:rsidRPr="003F4CD8">
        <w:t>, (1)</w:t>
      </w:r>
    </w:p>
    <w:bookmarkEnd w:id="41"/>
    <w:p w:rsidR="00000000" w:rsidRPr="003F4CD8" w:rsidRDefault="00711D9B"/>
    <w:p w:rsidR="00000000" w:rsidRPr="003F4CD8" w:rsidRDefault="00711D9B">
      <w:r w:rsidRPr="003F4CD8">
        <w:t xml:space="preserve">где </w:t>
      </w:r>
      <w:r w:rsidR="003F4CD8">
        <w:rPr>
          <w:noProof/>
        </w:rPr>
        <w:drawing>
          <wp:inline distT="0" distB="0" distL="0" distR="0">
            <wp:extent cx="193675" cy="2374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D8">
        <w:t xml:space="preserve"> - площадь проходного сечения двери, </w:t>
      </w:r>
      <w:r w:rsidR="003F4CD8">
        <w:rPr>
          <w:noProof/>
        </w:rPr>
        <w:drawing>
          <wp:inline distT="0" distB="0" distL="0" distR="0">
            <wp:extent cx="210820" cy="2552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D8">
        <w:t>;</w:t>
      </w:r>
    </w:p>
    <w:p w:rsidR="00000000" w:rsidRPr="003F4CD8" w:rsidRDefault="003F4CD8">
      <w:r>
        <w:rPr>
          <w:noProof/>
        </w:rPr>
        <w:drawing>
          <wp:inline distT="0" distB="0" distL="0" distR="0">
            <wp:extent cx="272415" cy="2374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9B" w:rsidRPr="003F4CD8">
        <w:t xml:space="preserve"> - разность давлений на образце в i-м измерении, Па;</w:t>
      </w:r>
    </w:p>
    <w:p w:rsidR="00000000" w:rsidRPr="003F4CD8" w:rsidRDefault="003F4CD8">
      <w:r>
        <w:rPr>
          <w:noProof/>
        </w:rPr>
        <w:drawing>
          <wp:inline distT="0" distB="0" distL="0" distR="0">
            <wp:extent cx="175895" cy="2374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9B" w:rsidRPr="003F4CD8">
        <w:t xml:space="preserve"> - расход газов, проход</w:t>
      </w:r>
      <w:r w:rsidR="00711D9B" w:rsidRPr="003F4CD8">
        <w:t>ящих через образец, в i-м измерении, кг/с;</w:t>
      </w:r>
    </w:p>
    <w:p w:rsidR="00000000" w:rsidRPr="003F4CD8" w:rsidRDefault="003F4CD8">
      <w:r>
        <w:rPr>
          <w:noProof/>
        </w:rPr>
        <w:drawing>
          <wp:inline distT="0" distB="0" distL="0" distR="0">
            <wp:extent cx="149225" cy="2374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9B" w:rsidRPr="003F4CD8">
        <w:t xml:space="preserve"> - плотность газа, фильтрующегося через неплотности образца в i-м измерении, </w:t>
      </w:r>
      <w:r>
        <w:rPr>
          <w:noProof/>
        </w:rPr>
        <w:drawing>
          <wp:inline distT="0" distB="0" distL="0" distR="0">
            <wp:extent cx="439420" cy="25527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9B" w:rsidRPr="003F4CD8">
        <w:t>;</w:t>
      </w:r>
    </w:p>
    <w:p w:rsidR="00000000" w:rsidRPr="003F4CD8" w:rsidRDefault="003F4CD8">
      <w:r>
        <w:rPr>
          <w:noProof/>
        </w:rPr>
        <w:drawing>
          <wp:inline distT="0" distB="0" distL="0" distR="0">
            <wp:extent cx="237490" cy="2374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9B" w:rsidRPr="003F4CD8">
        <w:t xml:space="preserve"> - плотность газа при темпе</w:t>
      </w:r>
      <w:r w:rsidR="00711D9B" w:rsidRPr="003F4CD8">
        <w:t xml:space="preserve">ратуре 20°С, </w:t>
      </w:r>
      <w:r>
        <w:rPr>
          <w:noProof/>
        </w:rPr>
        <w:drawing>
          <wp:inline distT="0" distB="0" distL="0" distR="0">
            <wp:extent cx="439420" cy="2552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9B" w:rsidRPr="003F4CD8">
        <w:t>;</w:t>
      </w:r>
    </w:p>
    <w:p w:rsidR="00000000" w:rsidRPr="003F4CD8" w:rsidRDefault="00711D9B">
      <w:r w:rsidRPr="003F4CD8">
        <w:t>n - число измерений в течение времени испытаний.</w:t>
      </w:r>
    </w:p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42" w:name="sub_10000"/>
      <w:r w:rsidRPr="003F4CD8">
        <w:rPr>
          <w:color w:val="auto"/>
        </w:rPr>
        <w:t>10 Оценка результатов испытаний</w:t>
      </w:r>
    </w:p>
    <w:bookmarkEnd w:id="42"/>
    <w:p w:rsidR="00000000" w:rsidRPr="003F4CD8" w:rsidRDefault="00711D9B"/>
    <w:p w:rsidR="00000000" w:rsidRPr="003F4CD8" w:rsidRDefault="00711D9B">
      <w:bookmarkStart w:id="43" w:name="sub_10001"/>
      <w:r w:rsidRPr="003F4CD8">
        <w:t>10.1 За предел огнестойкости по потере дымогазонепроницаемости принимается минимальное время на</w:t>
      </w:r>
      <w:r w:rsidRPr="003F4CD8">
        <w:t xml:space="preserve">ступления предельного состояния по </w:t>
      </w:r>
      <w:r w:rsidRPr="003F4CD8">
        <w:rPr>
          <w:rStyle w:val="a4"/>
          <w:color w:val="auto"/>
        </w:rPr>
        <w:t>4.1</w:t>
      </w:r>
      <w:r w:rsidRPr="003F4CD8">
        <w:t xml:space="preserve">, </w:t>
      </w:r>
      <w:r w:rsidRPr="003F4CD8">
        <w:rPr>
          <w:rStyle w:val="a4"/>
          <w:color w:val="auto"/>
        </w:rPr>
        <w:t>4.2</w:t>
      </w:r>
      <w:r w:rsidRPr="003F4CD8">
        <w:t>, если не обнаружено значительное (&gt;25%) расхождение результатов.</w:t>
      </w:r>
    </w:p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44" w:name="sub_10002"/>
      <w:bookmarkEnd w:id="43"/>
      <w:r w:rsidRPr="003F4CD8">
        <w:rPr>
          <w:color w:val="auto"/>
          <w:sz w:val="16"/>
          <w:szCs w:val="16"/>
        </w:rPr>
        <w:t>Информация об изменениях:</w:t>
      </w:r>
    </w:p>
    <w:bookmarkEnd w:id="44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 9 декабря 2013 г. N 2215-ст, пункт 10.2 изложен в новой редакции, вступающей в силу с 1 </w:t>
      </w:r>
      <w:r w:rsidRPr="003F4CD8">
        <w:rPr>
          <w:color w:val="auto"/>
        </w:rPr>
        <w:lastRenderedPageBreak/>
        <w:t>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пункта в предыдущей редакции</w:t>
      </w:r>
    </w:p>
    <w:p w:rsidR="00000000" w:rsidRPr="003F4CD8" w:rsidRDefault="00711D9B">
      <w:r w:rsidRPr="003F4CD8">
        <w:t xml:space="preserve">10.2 Результаты испытаний, описанные в отчете (протоколе), действительны для дверей данного типа с отклонением их габаритных размеров по высоте и ширине согласно </w:t>
      </w:r>
      <w:r w:rsidRPr="003F4CD8">
        <w:rPr>
          <w:rStyle w:val="a4"/>
          <w:color w:val="auto"/>
        </w:rPr>
        <w:t>ГОСТ Р 53307</w:t>
      </w:r>
      <w:r w:rsidRPr="003F4CD8">
        <w:t>.</w:t>
      </w:r>
    </w:p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45" w:name="sub_10100"/>
      <w:r w:rsidRPr="003F4CD8">
        <w:rPr>
          <w:color w:val="auto"/>
        </w:rPr>
        <w:t>11 Отчет об испытании</w:t>
      </w:r>
    </w:p>
    <w:bookmarkEnd w:id="45"/>
    <w:p w:rsidR="00000000" w:rsidRPr="003F4CD8" w:rsidRDefault="00711D9B"/>
    <w:p w:rsidR="00000000" w:rsidRPr="003F4CD8" w:rsidRDefault="00711D9B">
      <w:bookmarkStart w:id="46" w:name="sub_10101"/>
      <w:r w:rsidRPr="003F4CD8">
        <w:t>11.1 Отчет об испытании, составленный по рекомендуемой форме, должен содержать следующие данные:</w:t>
      </w:r>
    </w:p>
    <w:p w:rsidR="00000000" w:rsidRPr="003F4CD8" w:rsidRDefault="00711D9B">
      <w:bookmarkStart w:id="47" w:name="sub_10111"/>
      <w:bookmarkEnd w:id="46"/>
      <w:r w:rsidRPr="003F4CD8">
        <w:t>1 Наименование и адре</w:t>
      </w:r>
      <w:r w:rsidRPr="003F4CD8">
        <w:t>с завода-изготовителя.</w:t>
      </w:r>
    </w:p>
    <w:p w:rsidR="00000000" w:rsidRPr="003F4CD8" w:rsidRDefault="00711D9B">
      <w:bookmarkStart w:id="48" w:name="sub_10112"/>
      <w:bookmarkEnd w:id="47"/>
      <w:r w:rsidRPr="003F4CD8">
        <w:t>2 Характеристику объекта испытаний.</w:t>
      </w:r>
    </w:p>
    <w:p w:rsidR="00000000" w:rsidRPr="003F4CD8" w:rsidRDefault="00711D9B">
      <w:bookmarkStart w:id="49" w:name="sub_10113"/>
      <w:bookmarkEnd w:id="48"/>
      <w:r w:rsidRPr="003F4CD8">
        <w:t>3 Характеристику заказываемой услуги.</w:t>
      </w:r>
    </w:p>
    <w:p w:rsidR="00000000" w:rsidRPr="003F4CD8" w:rsidRDefault="00711D9B">
      <w:bookmarkStart w:id="50" w:name="sub_10114"/>
      <w:bookmarkEnd w:id="49"/>
      <w:r w:rsidRPr="003F4CD8">
        <w:t>4 Методы испытаний (ссылка).</w:t>
      </w:r>
    </w:p>
    <w:p w:rsidR="00000000" w:rsidRPr="003F4CD8" w:rsidRDefault="00711D9B">
      <w:bookmarkStart w:id="51" w:name="sub_10115"/>
      <w:bookmarkEnd w:id="50"/>
      <w:r w:rsidRPr="003F4CD8">
        <w:t>5 Процедуру испытания.</w:t>
      </w:r>
    </w:p>
    <w:p w:rsidR="00000000" w:rsidRPr="003F4CD8" w:rsidRDefault="00711D9B">
      <w:bookmarkStart w:id="52" w:name="sub_10116"/>
      <w:bookmarkEnd w:id="51"/>
      <w:r w:rsidRPr="003F4CD8">
        <w:t>6 Испытательное оборудование и средства измерений.</w:t>
      </w:r>
    </w:p>
    <w:p w:rsidR="00000000" w:rsidRPr="003F4CD8" w:rsidRDefault="00711D9B">
      <w:bookmarkStart w:id="53" w:name="sub_10117"/>
      <w:bookmarkEnd w:id="52"/>
      <w:r w:rsidRPr="003F4CD8">
        <w:t>7 Процедуру отбора образцов.</w:t>
      </w:r>
    </w:p>
    <w:p w:rsidR="00000000" w:rsidRPr="003F4CD8" w:rsidRDefault="00711D9B">
      <w:bookmarkStart w:id="54" w:name="sub_10118"/>
      <w:bookmarkEnd w:id="53"/>
      <w:r w:rsidRPr="003F4CD8">
        <w:t>8 Результаты испытаний.</w:t>
      </w:r>
    </w:p>
    <w:p w:rsidR="00000000" w:rsidRPr="003F4CD8" w:rsidRDefault="00711D9B">
      <w:bookmarkStart w:id="55" w:name="sub_10119"/>
      <w:bookmarkEnd w:id="54"/>
      <w:r w:rsidRPr="003F4CD8">
        <w:t>9 Оценку результатов испытаний.</w:t>
      </w:r>
    </w:p>
    <w:p w:rsidR="00000000" w:rsidRPr="003F4CD8" w:rsidRDefault="00711D9B">
      <w:bookmarkStart w:id="56" w:name="sub_10110"/>
      <w:bookmarkEnd w:id="55"/>
      <w:r w:rsidRPr="003F4CD8">
        <w:t>10 Исполнители.</w:t>
      </w:r>
    </w:p>
    <w:bookmarkEnd w:id="56"/>
    <w:p w:rsidR="00000000" w:rsidRPr="003F4CD8" w:rsidRDefault="00711D9B"/>
    <w:p w:rsidR="00000000" w:rsidRPr="003F4CD8" w:rsidRDefault="00711D9B">
      <w:pPr>
        <w:pStyle w:val="1"/>
        <w:rPr>
          <w:color w:val="auto"/>
        </w:rPr>
      </w:pPr>
      <w:bookmarkStart w:id="57" w:name="sub_10200"/>
      <w:r w:rsidRPr="003F4CD8">
        <w:rPr>
          <w:color w:val="auto"/>
        </w:rPr>
        <w:t>12 Техника бе</w:t>
      </w:r>
      <w:r w:rsidRPr="003F4CD8">
        <w:rPr>
          <w:color w:val="auto"/>
        </w:rPr>
        <w:t>зопасности</w:t>
      </w:r>
    </w:p>
    <w:bookmarkEnd w:id="57"/>
    <w:p w:rsidR="00000000" w:rsidRPr="003F4CD8" w:rsidRDefault="00711D9B"/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58" w:name="sub_10201"/>
      <w:r w:rsidRPr="003F4CD8">
        <w:rPr>
          <w:color w:val="auto"/>
          <w:sz w:val="16"/>
          <w:szCs w:val="16"/>
        </w:rPr>
        <w:t>Информация об изменениях:</w:t>
      </w:r>
    </w:p>
    <w:bookmarkEnd w:id="58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 9 декабря 201</w:t>
      </w:r>
      <w:r w:rsidRPr="003F4CD8">
        <w:rPr>
          <w:color w:val="auto"/>
        </w:rPr>
        <w:t>3 г. N 2215-ст, в пункт 12.1 внесены изменения, вступающие в силу с 1 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пункта в предыдущей редакции</w:t>
      </w:r>
    </w:p>
    <w:p w:rsidR="00000000" w:rsidRPr="003F4CD8" w:rsidRDefault="00711D9B">
      <w:r w:rsidRPr="003F4CD8">
        <w:t xml:space="preserve">12.1 При испытании дверей на дымогазопроницаемость должны соблюдаться требования безопасности и производственной санитарии согласно </w:t>
      </w:r>
      <w:r w:rsidRPr="003F4CD8">
        <w:rPr>
          <w:rStyle w:val="a4"/>
          <w:color w:val="auto"/>
        </w:rPr>
        <w:t>ГОСТ 12.2.003</w:t>
      </w:r>
      <w:r w:rsidRPr="003F4CD8">
        <w:t xml:space="preserve"> и </w:t>
      </w:r>
      <w:r w:rsidRPr="003F4CD8">
        <w:rPr>
          <w:rStyle w:val="a4"/>
          <w:color w:val="auto"/>
        </w:rPr>
        <w:t>ГОСТ Р 12.1.019</w:t>
      </w:r>
      <w:r w:rsidRPr="003F4CD8">
        <w:t>.</w:t>
      </w:r>
    </w:p>
    <w:p w:rsidR="00000000" w:rsidRPr="003F4CD8" w:rsidRDefault="00711D9B">
      <w:bookmarkStart w:id="59" w:name="sub_10202"/>
      <w:r w:rsidRPr="003F4CD8">
        <w:t>12.2 К испытанию допускаются люди, ознакомленные с техническим описанием и инструкцией по эксплуатации испытательного стенда.</w:t>
      </w:r>
    </w:p>
    <w:p w:rsidR="00000000" w:rsidRPr="003F4CD8" w:rsidRDefault="00711D9B">
      <w:bookmarkStart w:id="60" w:name="sub_10203"/>
      <w:bookmarkEnd w:id="59"/>
      <w:r w:rsidRPr="003F4CD8">
        <w:t>12.3 Перед испытанием необходимо проверить надежность крепления образца</w:t>
      </w:r>
      <w:r w:rsidRPr="003F4CD8">
        <w:t>, а также приборов и оборудования, необходимых для стендового испытания.</w:t>
      </w:r>
    </w:p>
    <w:bookmarkEnd w:id="60"/>
    <w:p w:rsidR="00000000" w:rsidRPr="003F4CD8" w:rsidRDefault="00711D9B"/>
    <w:p w:rsidR="00000000" w:rsidRPr="003F4CD8" w:rsidRDefault="00711D9B">
      <w:pPr>
        <w:ind w:firstLine="698"/>
        <w:jc w:val="right"/>
      </w:pPr>
      <w:bookmarkStart w:id="61" w:name="sub_1000"/>
      <w:r w:rsidRPr="003F4CD8">
        <w:rPr>
          <w:rStyle w:val="a3"/>
          <w:color w:val="auto"/>
        </w:rPr>
        <w:t>Приложение А</w:t>
      </w:r>
      <w:r w:rsidRPr="003F4CD8">
        <w:rPr>
          <w:rStyle w:val="a3"/>
          <w:color w:val="auto"/>
        </w:rPr>
        <w:br/>
        <w:t>(обязательное)</w:t>
      </w:r>
    </w:p>
    <w:bookmarkEnd w:id="61"/>
    <w:p w:rsidR="00000000" w:rsidRPr="003F4CD8" w:rsidRDefault="00711D9B"/>
    <w:p w:rsidR="00000000" w:rsidRPr="003F4CD8" w:rsidRDefault="003F4CD8">
      <w:r>
        <w:rPr>
          <w:noProof/>
        </w:rPr>
        <w:lastRenderedPageBreak/>
        <w:drawing>
          <wp:inline distT="0" distB="0" distL="0" distR="0">
            <wp:extent cx="5961380" cy="3912870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F4CD8" w:rsidRDefault="00711D9B">
      <w:pPr>
        <w:pStyle w:val="afa"/>
        <w:rPr>
          <w:color w:val="auto"/>
          <w:sz w:val="16"/>
          <w:szCs w:val="16"/>
        </w:rPr>
      </w:pPr>
      <w:bookmarkStart w:id="62" w:name="sub_10300"/>
      <w:r w:rsidRPr="003F4CD8">
        <w:rPr>
          <w:color w:val="auto"/>
          <w:sz w:val="16"/>
          <w:szCs w:val="16"/>
        </w:rPr>
        <w:t>Информация об изменениях:</w:t>
      </w:r>
    </w:p>
    <w:bookmarkEnd w:id="62"/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Изменением N 1</w:t>
      </w:r>
      <w:r w:rsidRPr="003F4CD8">
        <w:rPr>
          <w:color w:val="auto"/>
        </w:rPr>
        <w:t xml:space="preserve">, утвержденным </w:t>
      </w:r>
      <w:r w:rsidRPr="003F4CD8">
        <w:rPr>
          <w:rStyle w:val="a4"/>
          <w:color w:val="auto"/>
        </w:rPr>
        <w:t>приказом</w:t>
      </w:r>
      <w:r w:rsidRPr="003F4CD8">
        <w:rPr>
          <w:color w:val="auto"/>
        </w:rPr>
        <w:t xml:space="preserve"> Росстандарта от 9 декабря 2013 г. N 2215-ст, в раздел "Библиография" внесены изменения, вступающие в силу с 1 сентября 2014 г.</w:t>
      </w:r>
    </w:p>
    <w:p w:rsidR="00000000" w:rsidRPr="003F4CD8" w:rsidRDefault="00711D9B">
      <w:pPr>
        <w:pStyle w:val="afb"/>
        <w:rPr>
          <w:color w:val="auto"/>
        </w:rPr>
      </w:pPr>
      <w:r w:rsidRPr="003F4CD8">
        <w:rPr>
          <w:rStyle w:val="a4"/>
          <w:color w:val="auto"/>
        </w:rPr>
        <w:t>См. текст раздела в предыдущей редакции</w:t>
      </w:r>
    </w:p>
    <w:p w:rsidR="00000000" w:rsidRPr="003F4CD8" w:rsidRDefault="00711D9B">
      <w:pPr>
        <w:pStyle w:val="1"/>
        <w:rPr>
          <w:color w:val="auto"/>
        </w:rPr>
      </w:pPr>
      <w:r w:rsidRPr="003F4CD8">
        <w:rPr>
          <w:color w:val="auto"/>
        </w:rPr>
        <w:t>Библиография</w:t>
      </w:r>
    </w:p>
    <w:p w:rsidR="00000000" w:rsidRPr="003F4CD8" w:rsidRDefault="00711D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7607"/>
      </w:tblGrid>
      <w:tr w:rsidR="00000000" w:rsidRPr="003F4CD8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4CD8" w:rsidRDefault="00711D9B">
            <w:pPr>
              <w:pStyle w:val="aff9"/>
            </w:pPr>
            <w:bookmarkStart w:id="63" w:name="sub_10301"/>
            <w:r w:rsidRPr="003F4CD8">
              <w:t xml:space="preserve">[1] </w:t>
            </w:r>
            <w:r w:rsidRPr="003F4CD8">
              <w:rPr>
                <w:rStyle w:val="a4"/>
                <w:color w:val="auto"/>
              </w:rPr>
              <w:t>СП 7.13130.2013</w:t>
            </w:r>
            <w:bookmarkEnd w:id="63"/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4CD8" w:rsidRDefault="00711D9B">
            <w:pPr>
              <w:pStyle w:val="afff2"/>
            </w:pPr>
            <w:r w:rsidRPr="003F4CD8">
              <w:t>Отопление, вентиляция и кондиционирование. Требования пожарной безопасности.</w:t>
            </w:r>
          </w:p>
        </w:tc>
      </w:tr>
      <w:tr w:rsidR="00000000" w:rsidRPr="003F4CD8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4CD8" w:rsidRDefault="00711D9B">
            <w:pPr>
              <w:pStyle w:val="aff9"/>
            </w:pPr>
            <w:bookmarkStart w:id="64" w:name="sub_10302"/>
            <w:r w:rsidRPr="003F4CD8">
              <w:t xml:space="preserve">[2] </w:t>
            </w:r>
            <w:r w:rsidRPr="003F4CD8">
              <w:rPr>
                <w:rStyle w:val="a4"/>
                <w:color w:val="auto"/>
              </w:rPr>
              <w:t>СНиП 2.03.04-84</w:t>
            </w:r>
            <w:bookmarkEnd w:id="64"/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4CD8" w:rsidRDefault="00711D9B">
            <w:pPr>
              <w:pStyle w:val="afff2"/>
            </w:pPr>
            <w:r w:rsidRPr="003F4CD8">
              <w:t>Бетоны и железобетоны.</w:t>
            </w:r>
          </w:p>
        </w:tc>
      </w:tr>
      <w:tr w:rsidR="00000000" w:rsidRPr="003F4CD8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4CD8" w:rsidRDefault="00711D9B">
            <w:pPr>
              <w:pStyle w:val="aff9"/>
            </w:pPr>
            <w:bookmarkStart w:id="65" w:name="sub_10303"/>
            <w:r w:rsidRPr="003F4CD8">
              <w:t>[3] Правила 28-64</w:t>
            </w:r>
            <w:bookmarkEnd w:id="65"/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4CD8" w:rsidRDefault="00711D9B">
            <w:pPr>
              <w:pStyle w:val="afff2"/>
            </w:pPr>
            <w:r w:rsidRPr="003F4CD8">
              <w:t xml:space="preserve">Измерение расходов </w:t>
            </w:r>
            <w:r w:rsidRPr="003F4CD8">
              <w:t>жидкостей, газов и паров стандартными диафрагмами и соплами.</w:t>
            </w:r>
          </w:p>
        </w:tc>
      </w:tr>
    </w:tbl>
    <w:p w:rsidR="00711D9B" w:rsidRPr="003F4CD8" w:rsidRDefault="00711D9B"/>
    <w:sectPr w:rsidR="00711D9B" w:rsidRPr="003F4CD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644B"/>
    <w:rsid w:val="003F4CD8"/>
    <w:rsid w:val="00711D9B"/>
    <w:rsid w:val="00A2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2134</Words>
  <Characters>12166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2</cp:revision>
  <dcterms:created xsi:type="dcterms:W3CDTF">2017-07-04T03:38:00Z</dcterms:created>
  <dcterms:modified xsi:type="dcterms:W3CDTF">2017-07-04T03:38:00Z</dcterms:modified>
</cp:coreProperties>
</file>