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1B" w:rsidRPr="0036216B" w:rsidRDefault="00BF0C1B" w:rsidP="0036216B">
      <w:pPr>
        <w:pStyle w:val="ConsPlusNormal"/>
        <w:ind w:left="4820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Утверждаю</w:t>
      </w:r>
    </w:p>
    <w:p w:rsidR="0036216B" w:rsidRDefault="00BF0C1B" w:rsidP="0036216B">
      <w:pPr>
        <w:pStyle w:val="ConsPlusNormal"/>
        <w:ind w:left="48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Заместитель Министра</w:t>
      </w:r>
      <w:r w:rsidR="0036216B">
        <w:rPr>
          <w:rFonts w:ascii="Times New Roman" w:hAnsi="Times New Roman" w:cs="Times New Roman"/>
          <w:sz w:val="28"/>
          <w:szCs w:val="28"/>
        </w:rPr>
        <w:t xml:space="preserve"> </w:t>
      </w:r>
      <w:r w:rsidRPr="0036216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6216B">
        <w:rPr>
          <w:rFonts w:ascii="Times New Roman" w:hAnsi="Times New Roman" w:cs="Times New Roman"/>
          <w:sz w:val="28"/>
          <w:szCs w:val="28"/>
        </w:rPr>
        <w:t xml:space="preserve"> </w:t>
      </w:r>
      <w:r w:rsidRPr="0036216B">
        <w:rPr>
          <w:rFonts w:ascii="Times New Roman" w:hAnsi="Times New Roman" w:cs="Times New Roman"/>
          <w:sz w:val="28"/>
          <w:szCs w:val="28"/>
        </w:rPr>
        <w:t>по делам гражданской обороны,</w:t>
      </w:r>
      <w:r w:rsidR="0036216B">
        <w:rPr>
          <w:rFonts w:ascii="Times New Roman" w:hAnsi="Times New Roman" w:cs="Times New Roman"/>
          <w:sz w:val="28"/>
          <w:szCs w:val="28"/>
        </w:rPr>
        <w:t xml:space="preserve"> </w:t>
      </w:r>
      <w:r w:rsidRPr="0036216B">
        <w:rPr>
          <w:rFonts w:ascii="Times New Roman" w:hAnsi="Times New Roman" w:cs="Times New Roman"/>
          <w:sz w:val="28"/>
          <w:szCs w:val="28"/>
        </w:rPr>
        <w:t>чрезвычайным ситуациям</w:t>
      </w:r>
      <w:r w:rsidR="0036216B">
        <w:rPr>
          <w:rFonts w:ascii="Times New Roman" w:hAnsi="Times New Roman" w:cs="Times New Roman"/>
          <w:sz w:val="28"/>
          <w:szCs w:val="28"/>
        </w:rPr>
        <w:t xml:space="preserve"> </w:t>
      </w:r>
      <w:r w:rsidRPr="0036216B">
        <w:rPr>
          <w:rFonts w:ascii="Times New Roman" w:hAnsi="Times New Roman" w:cs="Times New Roman"/>
          <w:sz w:val="28"/>
          <w:szCs w:val="28"/>
        </w:rPr>
        <w:t>и ликвидации последствий</w:t>
      </w:r>
      <w:r w:rsidR="0036216B">
        <w:rPr>
          <w:rFonts w:ascii="Times New Roman" w:hAnsi="Times New Roman" w:cs="Times New Roman"/>
          <w:sz w:val="28"/>
          <w:szCs w:val="28"/>
        </w:rPr>
        <w:t xml:space="preserve"> </w:t>
      </w:r>
      <w:r w:rsidRPr="0036216B">
        <w:rPr>
          <w:rFonts w:ascii="Times New Roman" w:hAnsi="Times New Roman" w:cs="Times New Roman"/>
          <w:sz w:val="28"/>
          <w:szCs w:val="28"/>
        </w:rPr>
        <w:t>стихийных бедствий</w:t>
      </w:r>
    </w:p>
    <w:p w:rsidR="00BF0C1B" w:rsidRPr="0036216B" w:rsidRDefault="00BF0C1B" w:rsidP="0036216B">
      <w:pPr>
        <w:pStyle w:val="ConsPlusNormal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генерал-полковник</w:t>
      </w:r>
      <w:r w:rsidR="0036216B">
        <w:rPr>
          <w:rFonts w:ascii="Times New Roman" w:hAnsi="Times New Roman" w:cs="Times New Roman"/>
          <w:sz w:val="28"/>
          <w:szCs w:val="28"/>
        </w:rPr>
        <w:t xml:space="preserve"> </w:t>
      </w:r>
      <w:r w:rsidRPr="0036216B">
        <w:rPr>
          <w:rFonts w:ascii="Times New Roman" w:hAnsi="Times New Roman" w:cs="Times New Roman"/>
          <w:sz w:val="28"/>
          <w:szCs w:val="28"/>
        </w:rPr>
        <w:t>внутренней службы</w:t>
      </w:r>
    </w:p>
    <w:p w:rsidR="0036216B" w:rsidRDefault="0036216B" w:rsidP="0036216B">
      <w:pPr>
        <w:pStyle w:val="ConsPlusNormal"/>
        <w:ind w:left="48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left="48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А.П.</w:t>
      </w:r>
      <w:r w:rsidR="0036216B">
        <w:rPr>
          <w:rFonts w:ascii="Times New Roman" w:hAnsi="Times New Roman" w:cs="Times New Roman"/>
          <w:sz w:val="28"/>
          <w:szCs w:val="28"/>
        </w:rPr>
        <w:t xml:space="preserve"> </w:t>
      </w:r>
      <w:r w:rsidR="0036216B" w:rsidRPr="0036216B">
        <w:rPr>
          <w:rFonts w:ascii="Times New Roman" w:hAnsi="Times New Roman" w:cs="Times New Roman"/>
          <w:sz w:val="28"/>
          <w:szCs w:val="28"/>
        </w:rPr>
        <w:t>Чуприян</w:t>
      </w:r>
    </w:p>
    <w:p w:rsidR="00BF0C1B" w:rsidRPr="0036216B" w:rsidRDefault="0036216B" w:rsidP="0036216B">
      <w:pPr>
        <w:pStyle w:val="ConsPlusNormal"/>
        <w:ind w:left="48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F0C1B" w:rsidRPr="0036216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.06.</w:t>
      </w:r>
      <w:r w:rsidR="00BF0C1B" w:rsidRPr="0036216B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C1B" w:rsidRPr="0036216B">
        <w:rPr>
          <w:rFonts w:ascii="Times New Roman" w:hAnsi="Times New Roman" w:cs="Times New Roman"/>
          <w:sz w:val="28"/>
          <w:szCs w:val="28"/>
        </w:rPr>
        <w:t>№ 2-4-87-7-14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МЕТОДИЧЕСКИЕ РЕКОМЕ</w:t>
      </w:r>
      <w:bookmarkStart w:id="0" w:name="_GoBack"/>
      <w:bookmarkEnd w:id="0"/>
      <w:r w:rsidRPr="0036216B">
        <w:rPr>
          <w:rFonts w:ascii="Times New Roman" w:hAnsi="Times New Roman" w:cs="Times New Roman"/>
          <w:sz w:val="28"/>
          <w:szCs w:val="28"/>
        </w:rPr>
        <w:t>НДАЦИИ</w:t>
      </w:r>
    </w:p>
    <w:p w:rsidR="00BF0C1B" w:rsidRPr="0036216B" w:rsidRDefault="00BF0C1B" w:rsidP="0036216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 ОБОРУДОВАНИЮ И ФУНКЦИОНИРОВАНИЮ ПОДВИЖНЫХ</w:t>
      </w:r>
      <w:r w:rsidR="0036216B">
        <w:rPr>
          <w:rFonts w:ascii="Times New Roman" w:hAnsi="Times New Roman" w:cs="Times New Roman"/>
          <w:sz w:val="28"/>
          <w:szCs w:val="28"/>
        </w:rPr>
        <w:t xml:space="preserve"> </w:t>
      </w:r>
      <w:r w:rsidRPr="0036216B">
        <w:rPr>
          <w:rFonts w:ascii="Times New Roman" w:hAnsi="Times New Roman" w:cs="Times New Roman"/>
          <w:sz w:val="28"/>
          <w:szCs w:val="28"/>
        </w:rPr>
        <w:t>ПУНКТОВ</w:t>
      </w:r>
      <w:r w:rsidR="0036216B">
        <w:rPr>
          <w:rFonts w:ascii="Times New Roman" w:hAnsi="Times New Roman" w:cs="Times New Roman"/>
          <w:sz w:val="28"/>
          <w:szCs w:val="28"/>
        </w:rPr>
        <w:t xml:space="preserve"> </w:t>
      </w:r>
      <w:r w:rsidRPr="0036216B">
        <w:rPr>
          <w:rFonts w:ascii="Times New Roman" w:hAnsi="Times New Roman" w:cs="Times New Roman"/>
          <w:sz w:val="28"/>
          <w:szCs w:val="28"/>
        </w:rPr>
        <w:t>УПРАВЛЕНИЯ ТЕРРИТОРИАЛЬНЫХ ОРГАНОВ МЧС РОССИИ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6216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6216B" w:rsidRPr="0036216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Подвижный пункт управления (далее </w:t>
      </w:r>
      <w:r w:rsidR="0036216B">
        <w:rPr>
          <w:rFonts w:ascii="Times New Roman" w:hAnsi="Times New Roman" w:cs="Times New Roman"/>
          <w:sz w:val="28"/>
          <w:szCs w:val="28"/>
        </w:rPr>
        <w:t>–</w:t>
      </w:r>
      <w:r w:rsidRPr="0036216B">
        <w:rPr>
          <w:rFonts w:ascii="Times New Roman" w:hAnsi="Times New Roman" w:cs="Times New Roman"/>
          <w:sz w:val="28"/>
          <w:szCs w:val="28"/>
        </w:rPr>
        <w:t xml:space="preserve"> ППУ) </w:t>
      </w:r>
      <w:r w:rsidR="0036216B">
        <w:rPr>
          <w:rFonts w:ascii="Times New Roman" w:hAnsi="Times New Roman" w:cs="Times New Roman"/>
          <w:sz w:val="28"/>
          <w:szCs w:val="28"/>
        </w:rPr>
        <w:t>–</w:t>
      </w:r>
      <w:r w:rsidRPr="0036216B">
        <w:rPr>
          <w:rFonts w:ascii="Times New Roman" w:hAnsi="Times New Roman" w:cs="Times New Roman"/>
          <w:sz w:val="28"/>
          <w:szCs w:val="28"/>
        </w:rPr>
        <w:t xml:space="preserve"> это специально оборудованные и оснащенные техническими средствами транспортные средства и другие элементы (палатки, пневмокаркасные модули и т.п.), развертываемые в районе чрезвычайной ситуации, обеспечивающие функционирование оперативной группы территориального органа МЧС России (местного гарнизона пожарной охраны) при осуществлении управления силами и средствами непосредственно в районе чрезвычайной ситуации (далее </w:t>
      </w:r>
      <w:r w:rsidR="0036216B">
        <w:rPr>
          <w:rFonts w:ascii="Times New Roman" w:hAnsi="Times New Roman" w:cs="Times New Roman"/>
          <w:sz w:val="28"/>
          <w:szCs w:val="28"/>
        </w:rPr>
        <w:t>–</w:t>
      </w:r>
      <w:r w:rsidRPr="0036216B">
        <w:rPr>
          <w:rFonts w:ascii="Times New Roman" w:hAnsi="Times New Roman" w:cs="Times New Roman"/>
          <w:sz w:val="28"/>
          <w:szCs w:val="28"/>
        </w:rPr>
        <w:t xml:space="preserve"> ЧС).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ППУ территориального органа МЧС России приводится в готовность к применению по предназначению в мирное время за счет штатной численности структурных подразделений и ЦУКС территориального органа МЧС России при возникновении ЧС, а также в других случаях по решению руководителя территориального органа МЧС России.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36216B">
        <w:rPr>
          <w:rFonts w:ascii="Times New Roman" w:hAnsi="Times New Roman" w:cs="Times New Roman"/>
          <w:b/>
          <w:i/>
          <w:sz w:val="28"/>
          <w:szCs w:val="28"/>
        </w:rPr>
        <w:t>1.1. Основные задачи ППУ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ППУ предназначен для обеспечения круглосуточной и автономной работы оперативной группы территориального органа МЧС России (далее </w:t>
      </w:r>
      <w:r w:rsidR="0036216B">
        <w:rPr>
          <w:rFonts w:ascii="Times New Roman" w:hAnsi="Times New Roman" w:cs="Times New Roman"/>
          <w:sz w:val="28"/>
          <w:szCs w:val="28"/>
        </w:rPr>
        <w:t>–</w:t>
      </w:r>
      <w:r w:rsidRPr="0036216B">
        <w:rPr>
          <w:rFonts w:ascii="Times New Roman" w:hAnsi="Times New Roman" w:cs="Times New Roman"/>
          <w:sz w:val="28"/>
          <w:szCs w:val="28"/>
        </w:rPr>
        <w:t xml:space="preserve"> оперативной группы) в районе ЧС (в полевых условиях) по выполнению следующих задач: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обеспечение надежного и бесперебойного управления силами и средствами единой государственной системы предупреждения и ликвидации ЧС (далее </w:t>
      </w:r>
      <w:r w:rsidR="0036216B">
        <w:rPr>
          <w:rFonts w:ascii="Times New Roman" w:hAnsi="Times New Roman" w:cs="Times New Roman"/>
          <w:sz w:val="28"/>
          <w:szCs w:val="28"/>
        </w:rPr>
        <w:t>–</w:t>
      </w:r>
      <w:r w:rsidRPr="0036216B">
        <w:rPr>
          <w:rFonts w:ascii="Times New Roman" w:hAnsi="Times New Roman" w:cs="Times New Roman"/>
          <w:sz w:val="28"/>
          <w:szCs w:val="28"/>
        </w:rPr>
        <w:t xml:space="preserve"> РСЧС), привлекаемыми к ликвидации ЧС как мирного, так и военного времени;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обеспечение своевременной и устойчивой связи с вышестоящими органами управления, подчиненными силами (подразделениями), а также со стационарными и подвижными пунктами управления РСЧС;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обеспечение мониторинга и прогнозирования развития ЧС, оценка возможной обстановки, обеспечение оперативного планирования действий по предупреждению и ликвидации ЧС, в том числе крупных пожаров;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размещение должностных лиц оперативной группы, обеспечение выполнения ими своих функциональных обязанностей;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работы и отдыха должностных лиц оперативной группы и технического персонала (в автономном режиме);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перемещение в район ЧС своим ходом, железнодорожным, воздушным и водным транспортом.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На ППУ также могут выполнять задачи комиссии по предупреждению и ликвидации ЧС и обеспечению пожарной безопасности (далее </w:t>
      </w:r>
      <w:r w:rsidR="0036216B">
        <w:rPr>
          <w:rFonts w:ascii="Times New Roman" w:hAnsi="Times New Roman" w:cs="Times New Roman"/>
          <w:sz w:val="28"/>
          <w:szCs w:val="28"/>
        </w:rPr>
        <w:t>–</w:t>
      </w:r>
      <w:r w:rsidRPr="0036216B">
        <w:rPr>
          <w:rFonts w:ascii="Times New Roman" w:hAnsi="Times New Roman" w:cs="Times New Roman"/>
          <w:sz w:val="28"/>
          <w:szCs w:val="28"/>
        </w:rPr>
        <w:t xml:space="preserve"> КЧС и ОПБ) субъектов Российской Федерации или их рабочие группы.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36216B">
        <w:rPr>
          <w:rFonts w:ascii="Times New Roman" w:hAnsi="Times New Roman" w:cs="Times New Roman"/>
          <w:b/>
          <w:i/>
          <w:sz w:val="28"/>
          <w:szCs w:val="28"/>
        </w:rPr>
        <w:t>1.2. Состав ППУ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ППУ должен состоять из трех основных функциональных подсистем и дополнительных элементов.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Функциональные подсистемы ППУ: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оперативно-штабная, включающая в свой состав комплекс оперативного управления и комплекс экстренного реагирования;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информационно-телекоммуникационная, включающая в свой состав комплекс средств связи, комплекс средств автоматизации, средства отображения информации;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вспомогательного обеспечения, включающая в свой состав комплекс жизнеобеспечения и комплекс электроснабжения.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Дополнительные элементы ППУ: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помещение дежурного по ППУ;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вертолетная площадка;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пост РХ контроля;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выездной пресс-центр;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пункт психологического обеспечения и медпункт.</w:t>
      </w:r>
    </w:p>
    <w:p w:rsidR="0036216B" w:rsidRPr="0036216B" w:rsidRDefault="0036216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Оперативная группа, осуществляющая свою деятельность на ППУ территориального органа МЧС России, может включать в свой состав до 25 человек и функционально подразделяется на три основных подгруппы:</w:t>
      </w:r>
    </w:p>
    <w:p w:rsidR="0036216B" w:rsidRPr="0036216B" w:rsidRDefault="0036216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управления;</w:t>
      </w:r>
    </w:p>
    <w:p w:rsidR="0036216B" w:rsidRPr="0036216B" w:rsidRDefault="0036216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связи;</w:t>
      </w:r>
    </w:p>
    <w:p w:rsidR="0036216B" w:rsidRPr="0036216B" w:rsidRDefault="0036216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обеспечения.</w:t>
      </w:r>
    </w:p>
    <w:p w:rsidR="0036216B" w:rsidRDefault="0036216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целях организации непрерывного управления при проведении аварийно-спасательных и других неотложных работ (далее - АСДНР), а также обеспечения функционирования всех элементов ППУ из состава подгрупп оперативной группы назначаются оперативно-дежурные расчеты, включающие в свой состав специалистов по всем направлениям деятельности.</w:t>
      </w:r>
    </w:p>
    <w:p w:rsidR="0036216B" w:rsidRDefault="0036216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Расчет личного состава оперативной группы осуществляется заблаговременно и должен обеспечивать круглосуточную посменную работу оперативно-дежурных расчетов на специально оборудованных автоматизированных рабочих местах.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0C1B" w:rsidRPr="0036216B" w:rsidRDefault="00BF0C1B" w:rsidP="0036216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lastRenderedPageBreak/>
        <w:t>Схема 1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Состав ППУ территориального органа МЧС России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36216B" w:rsidP="0036216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pict>
          <v:shape id="_x0000_i1025" style="width:427pt;height:323.15pt" coordsize="" o:spt="100" adj="0,,0" path="" filled="f" stroked="f">
            <v:stroke joinstyle="miter"/>
            <v:imagedata r:id="rId5" o:title="base_50_571931_5"/>
            <v:formulas/>
            <v:path o:connecttype="segments"/>
          </v:shape>
        </w:pic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7C423B" w:rsidRDefault="00BF0C1B" w:rsidP="007C423B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423B">
        <w:rPr>
          <w:rFonts w:ascii="Times New Roman" w:hAnsi="Times New Roman" w:cs="Times New Roman"/>
          <w:b/>
          <w:i/>
          <w:sz w:val="28"/>
          <w:szCs w:val="28"/>
        </w:rPr>
        <w:t>1.3. Состав оперативной группы территориального</w:t>
      </w:r>
      <w:r w:rsidR="007C42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423B">
        <w:rPr>
          <w:rFonts w:ascii="Times New Roman" w:hAnsi="Times New Roman" w:cs="Times New Roman"/>
          <w:b/>
          <w:i/>
          <w:sz w:val="28"/>
          <w:szCs w:val="28"/>
        </w:rPr>
        <w:t>органа МЧС России</w:t>
      </w:r>
    </w:p>
    <w:p w:rsidR="0036216B" w:rsidRDefault="0036216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Состав подгруппы управления аналогичен составу оперативного штаба ликвидации ЧС территориального органа МЧС России (</w:t>
      </w:r>
      <w:r w:rsidR="0036216B" w:rsidRPr="0036216B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36216B">
        <w:rPr>
          <w:rFonts w:ascii="Times New Roman" w:hAnsi="Times New Roman" w:cs="Times New Roman"/>
          <w:sz w:val="28"/>
          <w:szCs w:val="28"/>
        </w:rPr>
        <w:t>МЧС России от 26.10.2012 № 640 в редакции Приказа МЧС России от 25.02.2013 № 123) и, как правило, включает в себя: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специалистов планирования и подготовки распорядительных документов;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специалистов мониторинга и защиты;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специалистов по применению сил и средств МЧС России и РСЧС (в том числе по координации деятельности психологов);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специалистов по материально-техническому и финансовому обеспечению ликвидации ЧС.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состав подгруппы связи включаются специалисты, обеспечивающие бесперебойное функционирование комплексов средств связи и автоматизации, а также локальной вычислительной сети. Организация специальной связи осуществляется специалистами Федеральной службы охраны Российской Федерации в установленном порядке.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состав подгруппы обеспечения, как правило, включаются: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водители транспортных средств ППУ;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специалисты по материально-техническому и тыловому обеспечению </w:t>
      </w:r>
      <w:r w:rsidRPr="0036216B">
        <w:rPr>
          <w:rFonts w:ascii="Times New Roman" w:hAnsi="Times New Roman" w:cs="Times New Roman"/>
          <w:sz w:val="28"/>
          <w:szCs w:val="28"/>
        </w:rPr>
        <w:lastRenderedPageBreak/>
        <w:t>деятельности оперативной группы;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специалисты медицинской службы;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специалисты пресс-службы;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дежурные по ППУ.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Количество специалистов по каждому направлению, привлекаемых к работе в составе оперативной группы на ППУ, определяется решением руководителя территориального органа МЧС России в соответствии со складывающейся обстановкой в зоне ЧС и прогнозом ее развития.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36216B">
        <w:rPr>
          <w:rFonts w:ascii="Times New Roman" w:hAnsi="Times New Roman" w:cs="Times New Roman"/>
          <w:b/>
          <w:i/>
          <w:sz w:val="28"/>
          <w:szCs w:val="28"/>
        </w:rPr>
        <w:t>1.4. Размещение ППУ на местности (в районе ЧС)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ППУ размещается в районе ЧС (в полевых условиях, на минимально возможном удалении от границы зоны ЧС, за пределами зоны поражающих факторов ЧС), в зонах вооруженных конфликтов, а также при выполнении других задач, связанных с отрывом территориального органа МЧС России от пунктов постоянной дислокации.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При обследовании предполагаемой территории размещения ППУ особое внимание обращается на санитарно-эпидемиологическое состояние близлежащих населенных пунктов и отсутствие природных очагов инфекционных заболеваний.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Развертывание и оборудование ППУ осуществляется в соответствии с требованиями руководящих документов, регламентирующих пребывание подразделений в полевых условиях.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Примерное расположение элементов ППУ на местности указано в Приложении.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Участок местности для развертывания ППУ должен быть максимально пологим (с естественным уклоном для отвода атмосферных осадков), преимущественно сухим (без заболоченных участков) и удаленным (на расстоянии не менее 3-х км) от источников различного типа загрязнения (свалки, животноводческие фермы, скотомогильники и т.д.).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Место для развертывания ППУ выбирается с учетом наличия удобных подъездных путей и направления господствующих ветров, при этом фронт предусматривается с наветренной стороны.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При развертывании ППУ также необходимо учитывать: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местонахождение ближайших узлов связи и линий привязки операторов связи;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требования к установлению спутниковой связи на местности;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возможность привязки к сетям электроснабжения (при наличии);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возможность использования личным составом ППУ имеющихся систем и объектов ЖКХ.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Границы ППУ в светлое время суток обозначаются с помощью металлических стоек (устанавливаемых с периодичностью каждые 3 м) с использованием ленты барьерной заградительной, в темное время суток - системой наружного освещения, установленной в верхней части металлических стоек.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Место развертывания ППУ оборудуется пожарным щитом (щитами) (типа ЩП-01 или аналог) с ящиком (мешками) для песка.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В районе развертывания ППУ необходимо предусматривать установку флагштока с Государственным флагом Российской Федерации, флагами МЧС </w:t>
      </w:r>
      <w:r w:rsidRPr="0036216B">
        <w:rPr>
          <w:rFonts w:ascii="Times New Roman" w:hAnsi="Times New Roman" w:cs="Times New Roman"/>
          <w:sz w:val="28"/>
          <w:szCs w:val="28"/>
        </w:rPr>
        <w:lastRenderedPageBreak/>
        <w:t>России и субъекта Российской Федерации. Флаги располагаются в следующей последовательности: Государственный флаг Российской Федерации - в центре, справа от Государственного флага Российской Федерации - флаг МЧС России, слева - флаг субъекта Российской Федерации.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 учетом природно-климатических и других особенностей местности, а также в целях оптимизации работ по ликвидации возможных ЧС на подведомственной территории решением начальника территориального органа МЧС России возможно наращивание состава ППУ дополнительными элементами и (или) замена предлагаемых к использованию технических средств.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7C423B" w:rsidRDefault="00BF0C1B" w:rsidP="0036216B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423B">
        <w:rPr>
          <w:rFonts w:ascii="Times New Roman" w:hAnsi="Times New Roman" w:cs="Times New Roman"/>
          <w:b/>
          <w:i/>
          <w:sz w:val="28"/>
          <w:szCs w:val="28"/>
        </w:rPr>
        <w:t>1.5. Общие требования к элементам ППУ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Подвижные элементы ППУ (кунги, фургоны и т.п.) должны базироваться на шасси автомобилей повышенной проходимости (прицепов автомобильных) с нанесенными знаками согласно цветографическим схемам, установленным ГОСТ Р 50574-2002 и эмблемой МЧС России.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Автомобильная техника должна оснащаться: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устройством для записи, хранения и воспроизведения видеоинформации (видеорегистратор);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GPS-навигатором;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устройствами системы ГЛОНАСС;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светосигнальными громкоговорящими устройствами на креплениях балочного типа;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средствами самовытаскивания (автомобильными лебедками).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Размеры других элементов (палаток, пневмокаркасных модулей и т.п.) должны обеспечивать выполнение возложенных на них функций.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Все элементы ППУ нумеруются нанесением (креплением) или установкой с помощью подставки на высоте 1,7 м от земли справа от входа таблички с номером и наименованием элемента (Приложение).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Во всех элементах ППУ необходимо предусматривать: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систему отопления и кондиционирования воздуха (тепловые пушки, конвекторы, напольные кондиционеры и т.д.);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резервный источник освещения (на аккумуляторных батареях);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первичные средства пожаротушения (огнетушители);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вешалки для верхней одежды;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описи имущества установленного образца.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Материальные средства: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Во всех элементах ППУ целесообразно использовать складную (легкоразборную) мебель (столы, стулья и т.д.), а также стеллажи с безболтовым соединением элементов.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Запас индивидуальных рационов питания необходимо иметь на каждого члена оперативной группы не менее чем на 2 суток.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Документация ППУ разрабатывается заблаговременно, формируется в отдельную папку (портфель, ящик и т.п.) и включает в свой состав: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нормативные правовые акты Российской Федерации, Президента и </w:t>
      </w:r>
      <w:r w:rsidRPr="0036216B">
        <w:rPr>
          <w:rFonts w:ascii="Times New Roman" w:hAnsi="Times New Roman" w:cs="Times New Roman"/>
          <w:sz w:val="28"/>
          <w:szCs w:val="28"/>
        </w:rPr>
        <w:lastRenderedPageBreak/>
        <w:t>Правительства Российской Федерации, МЧС России, субъекта Российской Федерации по вопросам защиты населения и территорий от ЧС и гражданской обороны;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положение о ППУ территориального органа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положение об оперативном штабе ликвидации ЧС территориального органа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положение об оперативной группе территориального органа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один экземпляр плана действий по предупреждению и ликвидации ЧС природного и техногенного характера субъекта Российской Федерации;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один экземпляр плана приведения территориального органа МЧС России в готовность к применению по предназначению в мирное время с расчетом личного состава оперативной группы территориального органа МЧС России и техники ППУ;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государственный доклад о состоянии защиты населения и территории субъекта Российской Федерации от ЧС природного и техногенного характера;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паспорт территории субъекта Российской Федерации и муниципального образования, в которое убывает оперативная группа (на бумажном носителе);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рабочую карту оперативной группы территориального органа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схему размещения элементов ППУ на местности;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опись имущества ППУ и схему его закладки на транспортные средства;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атлас автомобильных дорог Российской Федерации и субъекта Российской Федерации;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телефонный справочник абонентов телефонной сети общего пользования и ведомственной цифровой сети МЧС России руководящего состава МЧС России, регионального центра МЧС России, главного управления МЧС России по субъекту Российской Федерации;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телефонный справочник органов повседневного управления РСЧС субъекта Российской Федерации и муниципальных образований;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таблица позывных должностных лиц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журнал инструктажа по технике безопасности.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Документация ППУ вывозится при убытии оперативной группы руководителем оперативной группы или другим должностным лицом, определяемым его решением.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7C423B" w:rsidRDefault="00BF0C1B" w:rsidP="0036216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C423B">
        <w:rPr>
          <w:rFonts w:ascii="Times New Roman" w:hAnsi="Times New Roman" w:cs="Times New Roman"/>
          <w:b/>
          <w:sz w:val="28"/>
          <w:szCs w:val="28"/>
        </w:rPr>
        <w:t>2. ОРГАНИЗАЦИЯ РАБОТЫ ППУ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7C423B" w:rsidRDefault="00BF0C1B" w:rsidP="0036216B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423B">
        <w:rPr>
          <w:rFonts w:ascii="Times New Roman" w:hAnsi="Times New Roman" w:cs="Times New Roman"/>
          <w:b/>
          <w:i/>
          <w:sz w:val="28"/>
          <w:szCs w:val="28"/>
        </w:rPr>
        <w:t>2.1. Оперативно-штабная подсистема ППУ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Оперативно-штабная подсистема предназначена для обеспечения непосредственного управления и координации действий сил и средств РСЧС при проведении АСДНР в зоне ЧС.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состав оперативно-штабной подсистемы входят комплекс оперативного управления и комплекс экстренного реагирования.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2.1.1. Комплекс оперативного управления предназначен для обеспечения работы оперативного состава (дежурного расчета подгруппы управления) с целью оценки обстановки и принятия решений и включает в свой состав: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автомобиль оперативного управления;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lastRenderedPageBreak/>
        <w:t>помещение для работы дежурного расчета подгруппы управления оперативной группы;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помещение для проведения совещаний (работы КЧС и ОПБ субъекта Российской Федерации).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2.1.1.1. Автомобиль оперативного управления - грузовой автомобиль на базе шасси повышенной проходимости с колесной формулой 6 x 6 и кузовом-фургоном, оборудованным необходимыми системами жизнеобеспечения, предназначенный для организации работы и отдыха руководителя работ по ликвидации ЧС (руководителя оперативной группы территориального органа МЧС России) (далее - руководитель).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Кузов-фургон автомобиля оперативного управления должен иметь деление на рабочую зону и зону отдыха.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рабочей зоне должно быть оборудовано автоматизированное рабочее место (далее - АРМ) руководителя, а также места для проведения совещаний (4 - 6 мест).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АРМ руководителя должно обеспечивать: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работу руководителя в едином информационном пространстве оперативной группы территориального органа МЧС России, а также выход в сеть ИНТЕРНЕТ;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радиосвязь в КВ и УКВ диапазонах, а также телефонную связь в сети общего пользования и ведомственной цифровой сети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возможность проведения видеоконференции;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отображение информации, в том числе с использованием спутникового оборудования, а также электронных (цифровых) носителей и запись информации на них;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возможность связи с водителем автомобиля в движении.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рабочей зоне дополнительно располагаются: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шкафы (стеллажи) для хранения документов (справочного материала);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баннер установленного образца для проведения видеоконференций;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портреты Президента Российской Федерации и Министра МЧС России.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зоне отдыха должны быть оборудованы: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место для отдыха (спальное место);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место для хранения одежды (платяной шкаф или вешалка);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умывальник;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место для приема пищи.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2.1.1.2. Помещение для работы дежурного расчета подгруппы управления оперативной группы организуется в палатке (пневмокаркасном модуле) или кунге (фургоне) на шасси автомобиля повышенной проходимости или прицепа автомобильного и предназначено для обеспечения деятельности дежурного расчета подгруппы управления оперативной группы по управлению силами и средствами РСЧС при ликвидации ЧС.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помещении для работы дежурного расчета подгруппы управления оперативной группы располагаются не менее 10 АРМ специалистов подгруппы управления оперативной группы и одно АРМ специалиста связи.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АРМ должны обеспечивать: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работу специалистов в едином информационном пространстве (доступ в локальную вычислительную сеть), в том числе возможность выхода в ведомственную сеть ИНТРАНЕТ;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lastRenderedPageBreak/>
        <w:t>телефонную связь всех специалистов в телефонной сети общего пользования и ведомственной цифровой сети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выход в сеть ИНТЕРНЕТ не менее двух АРМ;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возможность вывода документов на печать с рабочего места любого специалиста;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бесперебойное функционирование оборудования (вычислительной техники, средств связи) при нарушении внешнего электроснабжения.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АРМ специалистов дежурного расчета подгруппы управления оперативной группы должны быть укомплектованы: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необходимыми формализованными и справочными документами по направлениям деятельности, в том числе паспортами территорий в электронном виде;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программным обеспечением по прогнозированию последствий ЧС;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канцелярскими принадлежностями.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помещении дежурного расчета подгруппы управления оперативной группы дополнительно располагаются: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средства отображения информации с входными разъемами под кабели цифровых и аналоговых видеосигналов, телевизионным ресивером и разъемом USB для просмотра информации с электронных носителей;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не менее 2 цветных сетевых многофункциональных устройств с возможностью печати документов формата А3;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комплект видеоконференцсвязи;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доска документации на мягкой (например - тканевой) основе (Приложение);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разборный стеллаж с безболтовым соединением элементов;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часы оперативного и астрономического времени;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баннер установленного образца для проведения видеоконференций;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портреты Президента Российской Федерации и Министра МЧС России.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2.1.1.3. Помещение для совещаний организуется в палатке (пневмокаркасном модуле) и предназначается для работы КЧС и ОПБ субъекта Российской Федерации, а также для проведения служебных и селекторных совещаний, в том числе в режиме видеоконференцсвязи.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Оборудование помещения для совещаний должно обеспечивать: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размещение участников совещания в количестве не менее 20 человек;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проведение селекторных совещаний в режиме видеоконференцсвязи.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помещении для совещаний располагаются: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АРМ специалиста связи;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столы и стулья для проведения совещаний. В зависимости от площади помещения столами может оборудоваться только место руководителя совещания и АРМ специалиста связи;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средства радио и телефонной связи;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баннер установленного образца для проведения видеоконференций;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оборудование видеоконференцсвязи;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средства отображения информации с входными разъемами под кабели цифровых и аналоговых видеосигналов, разъемом USB для просмотра информации с электронных носителей;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lastRenderedPageBreak/>
        <w:t>флаги (Государственный флаг Российской Федерации, флаг МЧС России, флаг субъекта Российской Федерации). Флаги располагаются на флагштоках и устанавливаются с левой стороны от баннера в следующей последовательности: в центре - Государственный флаг Российской Федерации, справа от Государственного флага Российской Федерации - флаг МЧС России, слева - флаг субъекта Российской Федерации;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портреты Президента Российской Федерации и Министра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вешалка для одежды.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2.1.2. Комплекс экстренного реагирования (далее - КЭР) предназначен для проведения разведки (рекогносцировки) и передачи информации на ППУ непосредственно из зоны ЧС (или ее границы), оборудуется на базе легкового автомобиля повышенной проходимости с колесной формулой 4 x 4 и оснащается средствами связи, объективного контроля, обработки и передачи данных, а также другим имуществом, необходимым для работы специалистов оперативной группы (количеством не менее трех человек) в отрыве от ППУ. В качестве КЭР может применяться автомобиль оперативной группы ЦУКС территориального органа МЧС России.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состав средств связи входят: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средства радио (УКВ, КВ) связи (автомобильные радиостанции и носимые радиостанции УКВ диапазона на каждого специалиста оперативной группы, осуществляющего работу на КЭР);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средства спутниковой связи;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мобильный комплект видеоконференцсвязи;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мобильный телефон.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состав средств объективного контроля, обработки и передачи данных входят: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цифровая видеокамера с возможностью записи видео и фотоматериалов;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цифровой диктофон;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ноутбук (нетбук) с техническими средствами для выхода в сеть ИНТЕРНЕТ (USB-модем);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бинокль.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При развертывании КЭР организуется работа АРМ, которое заблаговременно должно быть укомплектовано: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необходимыми формализованными и справочными документами по всем типам ЧС, в том числе паспортами территорий в электронном виде;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программным обеспечением по прогнозированию последствий ЧС;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канцелярскими принадлежностями.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Дополнительное имущество КЭР приведено в таблице 1.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423B" w:rsidRDefault="007C42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0C1B" w:rsidRPr="0036216B" w:rsidRDefault="00BF0C1B" w:rsidP="0036216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4366"/>
      </w:tblGrid>
      <w:tr w:rsidR="0036216B" w:rsidRPr="0036216B" w:rsidTr="007C423B">
        <w:trPr>
          <w:trHeight w:val="240"/>
        </w:trPr>
        <w:tc>
          <w:tcPr>
            <w:tcW w:w="600" w:type="dxa"/>
            <w:vAlign w:val="center"/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80" w:type="dxa"/>
            <w:vAlign w:val="center"/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Наименование материальных средств</w:t>
            </w:r>
          </w:p>
        </w:tc>
        <w:tc>
          <w:tcPr>
            <w:tcW w:w="4366" w:type="dxa"/>
            <w:vAlign w:val="center"/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6216B" w:rsidRPr="0036216B" w:rsidTr="007C423B">
        <w:trPr>
          <w:trHeight w:val="240"/>
        </w:trPr>
        <w:tc>
          <w:tcPr>
            <w:tcW w:w="10246" w:type="dxa"/>
            <w:gridSpan w:val="3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Респиратор пылевой</w:t>
            </w:r>
          </w:p>
        </w:tc>
        <w:tc>
          <w:tcPr>
            <w:tcW w:w="4366" w:type="dxa"/>
            <w:vMerge w:val="restart"/>
            <w:tcBorders>
              <w:top w:val="nil"/>
            </w:tcBorders>
            <w:vAlign w:val="center"/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на каждого специалиста КЭР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Противогаз фильтрующий</w:t>
            </w:r>
          </w:p>
        </w:tc>
        <w:tc>
          <w:tcPr>
            <w:tcW w:w="4366" w:type="dxa"/>
            <w:vMerge/>
            <w:tcBorders>
              <w:top w:val="nil"/>
            </w:tcBorders>
          </w:tcPr>
          <w:p w:rsidR="00BF0C1B" w:rsidRPr="0036216B" w:rsidRDefault="00BF0C1B" w:rsidP="003621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Костюм защитный Л-1</w:t>
            </w:r>
          </w:p>
        </w:tc>
        <w:tc>
          <w:tcPr>
            <w:tcW w:w="4366" w:type="dxa"/>
            <w:vMerge/>
            <w:tcBorders>
              <w:top w:val="nil"/>
            </w:tcBorders>
          </w:tcPr>
          <w:p w:rsidR="00BF0C1B" w:rsidRPr="0036216B" w:rsidRDefault="00BF0C1B" w:rsidP="003621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16B" w:rsidRPr="0036216B" w:rsidTr="007C423B">
        <w:trPr>
          <w:trHeight w:val="240"/>
        </w:trPr>
        <w:tc>
          <w:tcPr>
            <w:tcW w:w="10246" w:type="dxa"/>
            <w:gridSpan w:val="3"/>
            <w:tcBorders>
              <w:top w:val="nil"/>
            </w:tcBorders>
            <w:vAlign w:val="center"/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Имущество по медицинской службе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Аптечка универсальная</w:t>
            </w:r>
          </w:p>
        </w:tc>
        <w:tc>
          <w:tcPr>
            <w:tcW w:w="4366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Таблетки для обеззараживания воды</w:t>
            </w:r>
          </w:p>
        </w:tc>
        <w:tc>
          <w:tcPr>
            <w:tcW w:w="4366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10 упаковок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Покрывало спасательное изотермическое</w:t>
            </w:r>
          </w:p>
        </w:tc>
        <w:tc>
          <w:tcPr>
            <w:tcW w:w="4366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Пакет перевязочный индивидуальный ППИ АВ-3</w:t>
            </w:r>
          </w:p>
        </w:tc>
        <w:tc>
          <w:tcPr>
            <w:tcW w:w="4366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Мешки патологоанатомические</w:t>
            </w:r>
          </w:p>
        </w:tc>
        <w:tc>
          <w:tcPr>
            <w:tcW w:w="4366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</w:tr>
      <w:tr w:rsidR="0036216B" w:rsidRPr="0036216B" w:rsidTr="007C423B">
        <w:trPr>
          <w:trHeight w:val="240"/>
        </w:trPr>
        <w:tc>
          <w:tcPr>
            <w:tcW w:w="10246" w:type="dxa"/>
            <w:gridSpan w:val="3"/>
            <w:tcBorders>
              <w:top w:val="nil"/>
            </w:tcBorders>
            <w:vAlign w:val="center"/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Имущество по продовольственной службе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Индивидуальный рацион питания</w:t>
            </w:r>
          </w:p>
        </w:tc>
        <w:tc>
          <w:tcPr>
            <w:tcW w:w="4366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1 комплект на каждого</w:t>
            </w:r>
            <w:r w:rsidR="007C4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специалиста КЭР</w:t>
            </w:r>
          </w:p>
        </w:tc>
      </w:tr>
      <w:tr w:rsidR="0036216B" w:rsidRPr="0036216B" w:rsidTr="007C423B">
        <w:trPr>
          <w:trHeight w:val="240"/>
        </w:trPr>
        <w:tc>
          <w:tcPr>
            <w:tcW w:w="10246" w:type="dxa"/>
            <w:gridSpan w:val="3"/>
            <w:tcBorders>
              <w:top w:val="nil"/>
            </w:tcBorders>
            <w:vAlign w:val="center"/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Прочее имущество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Лопата штыковая</w:t>
            </w:r>
          </w:p>
        </w:tc>
        <w:tc>
          <w:tcPr>
            <w:tcW w:w="4366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Пила</w:t>
            </w:r>
          </w:p>
        </w:tc>
        <w:tc>
          <w:tcPr>
            <w:tcW w:w="4366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Фонарь электрический ручной</w:t>
            </w:r>
          </w:p>
        </w:tc>
        <w:tc>
          <w:tcPr>
            <w:tcW w:w="4366" w:type="dxa"/>
            <w:vMerge w:val="restart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на каждого специалиста КЭР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Каска спасателя</w:t>
            </w:r>
          </w:p>
        </w:tc>
        <w:tc>
          <w:tcPr>
            <w:tcW w:w="4366" w:type="dxa"/>
            <w:vMerge/>
            <w:tcBorders>
              <w:top w:val="nil"/>
            </w:tcBorders>
          </w:tcPr>
          <w:p w:rsidR="00BF0C1B" w:rsidRPr="0036216B" w:rsidRDefault="00BF0C1B" w:rsidP="007C42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Лента барьерная заградительная</w:t>
            </w:r>
          </w:p>
        </w:tc>
        <w:tc>
          <w:tcPr>
            <w:tcW w:w="4366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</w:tr>
      <w:tr w:rsidR="0036216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Мегафон (громкоговоритель)</w:t>
            </w:r>
          </w:p>
        </w:tc>
        <w:tc>
          <w:tcPr>
            <w:tcW w:w="4366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</w:tr>
      <w:tr w:rsidR="007C423B" w:rsidRPr="0036216B" w:rsidTr="007C423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F0C1B" w:rsidRPr="0036216B" w:rsidRDefault="00BF0C1B" w:rsidP="0036216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280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Лазерное средство измерения расстояния</w:t>
            </w:r>
          </w:p>
        </w:tc>
        <w:tc>
          <w:tcPr>
            <w:tcW w:w="4366" w:type="dxa"/>
            <w:tcBorders>
              <w:top w:val="nil"/>
            </w:tcBorders>
          </w:tcPr>
          <w:p w:rsidR="00BF0C1B" w:rsidRPr="0036216B" w:rsidRDefault="00BF0C1B" w:rsidP="007C423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16B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</w:tr>
    </w:tbl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7C423B" w:rsidRDefault="00BF0C1B" w:rsidP="0036216B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423B">
        <w:rPr>
          <w:rFonts w:ascii="Times New Roman" w:hAnsi="Times New Roman" w:cs="Times New Roman"/>
          <w:b/>
          <w:i/>
          <w:sz w:val="28"/>
          <w:szCs w:val="28"/>
        </w:rPr>
        <w:t>2.2. Информационно-телекоммуникационная подсистема ППУ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Информационно-телекоммуникационная подсистема предназначена для обеспечения оперативной группы всеми видами связи для управления АСДНР, поддержания устойчивого взаимодействия с органами управления и силами РСЧС, привлекаемыми к ликвидации ЧС, обеспечения функционирования АРМ оперативной группы по прогнозированию, оценке обстановки, принятию решений, хранению и передаче информации, а также обеспечения информационной </w:t>
      </w:r>
      <w:r w:rsidRPr="0036216B">
        <w:rPr>
          <w:rFonts w:ascii="Times New Roman" w:hAnsi="Times New Roman" w:cs="Times New Roman"/>
          <w:sz w:val="28"/>
          <w:szCs w:val="28"/>
        </w:rPr>
        <w:lastRenderedPageBreak/>
        <w:t>безопасности. В состав информационно-телекоммуникационной подсистемы ППУ входят: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комплекс средств связи (мобильный узел связи);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комплекс средств автоматизации;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средства отображения информации.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всех элементов информационно-телекоммуникационной подсистемы ППУ осуществляется специалистами подгруппы связи оперативной группы.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2.2.1. Комплекс средств связи включает в свой состав мобильный узел связи, оборудование специальной связи и предназначен для обеспечения устойчивой связью ППУ, в том числе связью взаимодействия с оперативными группами органов управления РСЧС и системой антикризисного управления МЧС России, обеспечения информационной безопасности и монтируется в кузове-фургоне на базе шасси повышенной проходимости с колесной формулой 6 x 6 с возможностью выноса в развертываемую палатку.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Мобильный узел связи должен обеспечивать: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информационный обмен, в том числе телефонию, передачу данных, аудио- и видеоконференцсвязь, доступ к информационным ресурсам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телефонную связь с автоматической и ручной коммутацией в ВЦССИУ и в ЕСЭ РФ;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интеграцию сетей радиосвязи с ВЦССИУ;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факсимильную связь;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передачу данных в сетях Интранет и ИНТЕРНЕТ;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микросотовую связь стандарта DECT в зоне развертывания системы мобильного оповещения;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УКВ радиосети в диапазонах (136 - 174), (403 - 470), (36 - 42) (118 - 136,975) МГц;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КВ радиосвязь в радиосетях и радионаправлениях (0,03 - 29,999);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привязку к узлам связи ЕЭС РФ и узлам связи ведомственных сетей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криптозащиту и межсетевое экранирование на базе RVP№;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внешнюю громкоговорящую связь;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прием спутниковых каналов телевизионного вещания;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оповещение руководящего состава, сил РСЧС и информирование населения;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работу в сетях операторов сотовой связи, спутниковых системах «I№marsat-BGA№» и VSAT;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работу комплекта бортового навигационно-связного оборудования.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Комплекс средств связи должен включать в себя средства каналообразования (средства проводной, радио и спутниковой связи), коммутации, локально-вычислительной сети, оконечные устройства связи.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Оборудование специальной связи развертывается в отдельном помещении (палатке) специалистами Федеральной службы охраны в установленном порядке.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2.2.2. Комплекс средств автоматизации должен обеспечивать: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сбор, регистрацию, обобщение, хранение и передачу между участниками ликвидации ЧС данных обстановки в районе ЧС;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lastRenderedPageBreak/>
        <w:t>организацию информационной поддержки мероприятий по прогнозированию и оценке возможной обстановки, выработке предложений по проведению АСДНР;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хранение информации объемом не менее 2 Тб.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7C423B" w:rsidRDefault="00BF0C1B" w:rsidP="0036216B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423B">
        <w:rPr>
          <w:rFonts w:ascii="Times New Roman" w:hAnsi="Times New Roman" w:cs="Times New Roman"/>
          <w:b/>
          <w:i/>
          <w:sz w:val="28"/>
          <w:szCs w:val="28"/>
        </w:rPr>
        <w:t>2.3. Подсистема вспомогательного обеспечения ППУ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Подсистема вспомогательного обеспечения предназначена для создания комфортных условий жизнедеятельности, работы и отдыха должностных лиц оперативной группы, а также обеспечения устойчивого электроснабжения всех потребителей ППУ и включает в себя: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комплекс жизнеобеспечения;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комплекс электроснабжения.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всех элементов подсистемы вспомогательного обеспечения ППУ осуществляется соответствующими специалистами подгруппы обеспечения оперативной группы.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2.3.1. Комплекс жизнеобеспечения предназначен для создания комфортных условий жизнедеятельности, работы и отдыха должностных лиц оперативной группы и включает в свой состав: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автомобиль (автомобили) жизнеобеспечения с двухосным грузовым прицепом;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пункт питания;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пункт помывки личного состава;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помещение для отдыха личного состава;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туалет;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помещение (склад) для хранения материальных средств ППУ.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2.3.1.1. Автомобиль (автомобили) жизнеобеспечения - грузовой автомобиль на базе шасси повышенной проходимости с колесной формулой 6 x 6 и оборудованный металлическим бортовым тентованным кузовом и двухосным грузовым прицепом (прицепами), предназначенный для доставки материально-технических средств ППУ. Автомобиль жизнеобеспечения дополнительно может использоваться как автомобиль технической помощи, для чего он оснащается необходимым водительским инструментом и приспособлением для буксирования (жесткой сцепкой).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2.3.1.2. Пункт питания предназначен для организации питания личного состава оперативной группы, а также представителей КЧС и ОПБ субъекта Российской Федерации, оперативных групп вышестоящих органов управления МЧС России.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Пункт питания оборудуется и оснащается техникой и имуществом продовольственной службы в соответствии с нормой № 7, утвержденной Приказом МЧС России от 19.02.2013 № 98 (зарегистрирован в Минюсте России 06.03.2013, № 27517).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Питание личного состава оперативной группы в первые и последние сутки работы в районе ЧС организуется с использованием индивидуальных рационов питания. В остальное время питание личного состава оперативной группы осуществляется горячей пищей и организуется следующими способами: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штатными силами и средствами территориального органа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через сторонние предприятия общественного питания на штатных средствах </w:t>
      </w:r>
      <w:r w:rsidRPr="0036216B">
        <w:rPr>
          <w:rFonts w:ascii="Times New Roman" w:hAnsi="Times New Roman" w:cs="Times New Roman"/>
          <w:sz w:val="28"/>
          <w:szCs w:val="28"/>
        </w:rPr>
        <w:lastRenderedPageBreak/>
        <w:t>приготовления пищи пункта питания ППУ;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через сторонние предприятия общественного питания путем доставки готовой пищи на пункт питания ППУ.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2.3.1.3. Пункт помывки личного состава размещается в палатке (модуле пневмокаркасном) и оборудуется: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легкоразборными душевыми кабинами из расчета: 1 душевая кабина не более чем на 10 человек;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умывальниками из расчета: 1 умывальник не более чем на 5 человек;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резервуаром для хранения воды с возможностью ее подогрева и подачи самотеком в душевые кабины и умывальники;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местом для раздевания и одевания (стулья (лавки) и вешалки).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Для отвода сточных вод на расстоянии не менее 10 м от палатки оборудуется поглощающий колодец достаточного объема.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2.3.1.4. Помещение для отдыха личного состава размещается в палатке (модуле пневмокаркасном, кунге автомобильном) и оборудуется: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разборными кроватями (раскладушками) с надувными матрацами, стульями и постельными принадлежностями в количестве, обеспечивающем одновременный отдых не менее 50% личного состава оперативной группы.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2.3.1.5. Туалет размещается на расстоянии 40 - 100 м от границы ППУ из расчета одна туалетная кабина не более чем на 10 человек. Дорожка к туалетным кабинам в ночное время должна освещаться.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2.3.1.6. Помещение (склад) для хранения материальных средств ППУ оборудуется в палатке (модуле пневмокаркасном, кунге автомобильном) и предназначено для хранения и выдачи имущества ППУ и оперативной группы.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Склад подразделяется на две зоны: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зона непосредственного приема и выдачи имущества;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зона хранения.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зоне хранения склада на разборных стеллажах с безболтовым соединением элементов располагается имущество текущего хранения.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зоне непосредственного приема и выдачи имущества располагаются: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рабочее место специалиста подгруппы обеспечения;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место для глажения (гладильная доска, утюг).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Хранение горюче-смазочных материалов осуществляется на специально оборудованной огражденной площадке на безопасном удалении от элементов ППУ в объемах, необходимых для обеспечения автономного функционирования систем жизнеобеспечения ППУ в течение 3 суток.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2.3.2. Комплекс электроснабжения представляет собой совокупность источников и систем выработки, преобразования, передачи и распределения энергии, а также потребителей ППУ.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Автономный источник энергоснабжения ППУ должен обеспечивать бесперебойное электроснабжение без превышения максимальной нагрузки при одномоментном подключении всех потребителей. Автономный источник располагается в районе развертывания ППУ на удалении, позволяющем при его работе не допускать помех средствам автоматизации и связи ППУ.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Выключатели внутреннего освещения элементов ППУ необходимо располагать </w:t>
      </w:r>
      <w:r w:rsidRPr="0036216B">
        <w:rPr>
          <w:rFonts w:ascii="Times New Roman" w:hAnsi="Times New Roman" w:cs="Times New Roman"/>
          <w:sz w:val="28"/>
          <w:szCs w:val="28"/>
        </w:rPr>
        <w:lastRenderedPageBreak/>
        <w:t>внутри помещений с правой стороны от входа.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помещении для отдыха личного состава необходимо предусматривать дежурное освещение.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Освещение площадки развертывания ППУ осуществляется с использованием достаточного количества световых башен или других источников освещения.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2.4. Дополнительные элементы ППУ включают в свой состав: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помещение дежурного по ППУ;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вертолетную площадку;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пост РХ контроля;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выездной пресс-центр;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пункт психологического обеспечения и медпункт.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2.4.1. Помещение дежурного по ППУ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Помещение дежурного по ППУ организуется в палатке (пневмокаркасном модуле) и предназначено для осуществления дежурства, охраны правопорядка и при необходимости несения комендантской службы на ППУ.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Помещение дежурного по ППУ располагается на въезде на площадку развертывания ППУ.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Въезд оборудуется шлагбаумом, окрашенным в чередующиеся красный и белый цвета.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Дежурные по ППУ назначаются из числа личного состава подгруппы обеспечения оперативной группы. Количество дежурных по ППУ должно обеспечивать круглосуточное несение дежурства не менее 2 человек в смене. График дежурства утверждается руководителем оперативной группы.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помещении дежурного по ППУ размещается: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рабочее место дежурного по ППУ (стол, стул);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место для отдыха (кровать с комплектом постельных принадлежностей);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стенд с документацией на мягкой основе;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вешалка для одежды;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стол для зарядки носимых радиостанций личного состава подвижного пункта управления с блоком электрических розеток, количеством не менее 30.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Документация дежурного по ППУ (располагается на доске документации):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обязанности дежурного по ППУ;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график дежурства;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схема размещения элементов ППУ на местности;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пожарный расчет ППУ;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требования безопасности при эксплуатации электрических приборов;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таблица позывных должностных лиц оперативной группы территориального органа МЧС России;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другие документы, необходимые при несении дежурства.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2.4.2. Вертолетная площадка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При оборудовании вертолетной площадки необходимо руководствоваться требованиями следующих нормативных документов: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 от 22.09.99 № 1084;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lastRenderedPageBreak/>
        <w:t>федеральными авиационными правилами полетов в воздушном пространстве Российской Федерации, утвержденными Приказом Министра обороны Российской Федерации, Министерства транспорта Российской Федерации и Российского авиационно-космического агентства от 31 марта 2002 г. № 136/42/51;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федеральными авиационными правилами «Требования к посадочным площадкам, расположенным на участке земли или акватории», утвержденными Приказом Минтранса России от 4 марта 2011 г. № 69.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Поверхность площадки должна обеспечивать приземление, взлет и зависание над ней вертолета среднего класса (Ми-8; Ка-32; Ка-226) или вертолета легкого класса с круглосуточным режимом работы в режимах «взлет-посадка» и «краткосрочное ожидание».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На расстоянии 25 - 30 м от границы вертолетной площадки может разворачиваться палатка (пневмокаркасный модуль) с рабочей площадью не менее 10 кв. м для предполетной подготовки, дежурства и отдыха экипажа вертолета. Общие требования к оборудованию палатки аналогичны общим требованиям для элементов ППУ.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Дополнительно в палатке располагается: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не менее 4 мест для отдыха экипажа (кровати);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стол и стулья;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вешалка для одежды;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радиостанция УКВ диапазона;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набор одноразовой посуды.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2.4.3. Пост радиационного, химического (далее - РХ) наблюдения развертывается для своевременного обнаружения радиоактивного, химического заражения, обеспечения руководителя оперативной группы данными о радиационной и химической обстановке в месте расположения ППУ и предназначен для: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ведения постоянного радиоактивного и химического наблюдения;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оповещения личного состава ППУ о радиоактивном загрязнении и химическом заражении;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определения мощности доз излучения, типа отравляющих веществ и аварийно химически опасных веществ в районе расположения ППУ.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ППУ радиационная и химическая разведка организуется специалистом по РХ защите дежурного расчета и ведется специалистом, из состава подгруппы обеспечения оперативной группы, не задействованным к выполнению работ по ликвидации ЧС (например, один из водителей, прошедший соответствующую подготовку).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Пост РХ наблюдения должен быть оснащен: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средствами радиосвязи (УКВ диапазона);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столом и стулом;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дозиметром-радиометром;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многокомпонентным газоанализатором;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метеокомплектом;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канцелярскими принадлежностями.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Документация поста РХ наблюдения: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lastRenderedPageBreak/>
        <w:t>функциональные обязанности специалиста поста РХ наблюдения;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аварийные карточки по видам АХОВ;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журнал радиационного наблюдения;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журнал химического наблюдения;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журнал метеонаблюдения;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таблица позывных должностных лиц оперативной группы.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Пост РХ наблюдения развертывается при участии оперативной группы в ликвидации ЧС РХ характера или в случае угрозы РХ заражения при развитии ЧС.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Вышеуказанное оборудование поста может быть установлено для проведения РХ разведки на автомобиль в виде бортовых приборов.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2.4.4. Выездной пресс-центр размещается в палатке (пневмокаркасном модуле) и предназначен для информирования представителей средств массовой информации и населения об обстановке в зоне ЧС, ходе ее ликвидации и принимаемых мерах по обеспечению жизнедеятельности населения, обеспечения их работы в районе ЧС, а также проведения пресс-конференций.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Количество специалистов пресс-службы территориального органа МЧС России, привлекаемых для работы в составе оперативной группы, определяется решением руководителя территориального органа МЧС России.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помещении пресс-центра располагаются следующие элементы: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АРМ специалистов пресс-службы (согласно количеству специалистов, привлекаемых для работы в составе оперативной группы), оборудованные средствами обработки и передачи информации (ноутбуки с возможностью выхода в сеть ИНТЕРНЕТ);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сетевое цветное многофункциональное устройство с возможностью печати фотографических изображений (копир, сканер, факс, принтер) формата А3;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средство отображения информации, имеющее в комплекте спутниковое оборудование и возможность просмотра электронных, в том числе и DVD носителей;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баннер установленного образца для проведения пресс-конференций;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средства радио и телефонной связи (в телефонной сети общего пользования и ведомственной цифровой сети МЧС России);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складные стулья для участников пресс-конференций;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вешалка для верхней одежды;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складные стеллажи с безболтовым соединением элементов;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информационные стенды на мягкой основе.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2.4.5. Пункт психологического обеспечения и медпункт могут развертываться на ППУ при долговременной работе личного состава оперативной группы в районе (зоне) ЧС (более 5 суток).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Пункт психологического обеспечения и медпункт размещаются в палатке (пневмокаркасном модуле, автомобиле или прицепе) с внутренним разделением на 2 зоны: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зона работы специалиста медицинской службы;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зона психологического обеспечения.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зоне работы специалиста медицинской службы располагаются: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рабочее место фельдшера (стол, стул), оборудованное средствами радиосвязи </w:t>
      </w:r>
      <w:r w:rsidRPr="0036216B">
        <w:rPr>
          <w:rFonts w:ascii="Times New Roman" w:hAnsi="Times New Roman" w:cs="Times New Roman"/>
          <w:sz w:val="28"/>
          <w:szCs w:val="28"/>
        </w:rPr>
        <w:lastRenderedPageBreak/>
        <w:t>(УКВ диапазона);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рукомойник;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складная кровать-кушетка;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вешалка для одежды;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складные стеллажи с безболтовым соединением элементов;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медицинское имущество, необходимое для оказания первой помощи в полевых условиях;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раздвижная перегородка (ширма).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Для медицинского обеспечения оперативной группы могут привлекаться специалисты медицинской службы территориальных органов МЧС России или медицинские работники лечебных учреждений субъекта Российской Федерации (муниципального образования), а также соответствующее медицинское имущество в установленном порядке.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 зоне психологического обеспечения располагаются: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рабочее место психолога;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вешалка для одежды;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складные стеллажи с безболтовым соединением элементов;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средства оказания психологической помощи и релаксации.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Оказание психологической помощи личному составу оперативной группы может осуществляться силами специалиста по координации деятельности психологов, входящего в состав подгруппы управления оперативной группы.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7C423B" w:rsidRDefault="00BF0C1B" w:rsidP="0036216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C423B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целях выработки единых требований к ППУ территориальных органов МЧС России по субъектам Российской Федерации и должны использоваться при проведении мероприятий по созданию и совершенствованию ППУ.</w:t>
      </w:r>
    </w:p>
    <w:p w:rsidR="007C423B" w:rsidRDefault="007C42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0C1B" w:rsidRPr="0036216B" w:rsidRDefault="00BF0C1B" w:rsidP="0036216B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F0C1B" w:rsidRPr="0036216B" w:rsidRDefault="00BF0C1B" w:rsidP="0036216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BF0C1B" w:rsidRPr="0036216B" w:rsidRDefault="00BF0C1B" w:rsidP="0036216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 оборудованию и функционированию</w:t>
      </w:r>
    </w:p>
    <w:p w:rsidR="00BF0C1B" w:rsidRPr="0036216B" w:rsidRDefault="00BF0C1B" w:rsidP="0036216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подвижных пунктов управления</w:t>
      </w:r>
    </w:p>
    <w:p w:rsidR="00BF0C1B" w:rsidRPr="0036216B" w:rsidRDefault="00BF0C1B" w:rsidP="0036216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территориальных органов МЧС России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440"/>
      <w:bookmarkEnd w:id="1"/>
      <w:r w:rsidRPr="0036216B">
        <w:rPr>
          <w:rFonts w:ascii="Times New Roman" w:hAnsi="Times New Roman" w:cs="Times New Roman"/>
          <w:sz w:val="28"/>
          <w:szCs w:val="28"/>
        </w:rPr>
        <w:t>ПРИМЕРНАЯ СХЕМА</w:t>
      </w:r>
    </w:p>
    <w:p w:rsidR="00BF0C1B" w:rsidRPr="0036216B" w:rsidRDefault="00BF0C1B" w:rsidP="0036216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РАСПОЛОЖЕНИЯ ЭЛЕМЕНТОВ ППУ НА МЕСТНОСТИ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7C423B" w:rsidP="0036216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pict>
          <v:shape id="_x0000_i1029" style="width:509.85pt;height:365.85pt" coordsize="" o:spt="100" adj="0,,0" path="" filled="f" stroked="f">
            <v:stroke joinstyle="miter"/>
            <v:imagedata r:id="rId6" o:title="base_50_571931_6"/>
            <v:formulas/>
            <v:path o:connecttype="segments"/>
          </v:shape>
        </w:pict>
      </w:r>
    </w:p>
    <w:p w:rsidR="007C423B" w:rsidRDefault="007C42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47"/>
      <w:bookmarkEnd w:id="2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0C1B" w:rsidRPr="0036216B" w:rsidRDefault="00BF0C1B" w:rsidP="0036216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lastRenderedPageBreak/>
        <w:t>РЕКОМЕНДУЕМАЯ ФОРМА ДОСКИ ДОКУМЕНТАЦИИ ППУ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7C423B" w:rsidP="0036216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pict>
          <v:shape id="_x0000_i1026" style="width:501.5pt;height:345.75pt" coordsize="" o:spt="100" adj="0,,0" path="" filled="f" stroked="f">
            <v:stroke joinstyle="miter"/>
            <v:imagedata r:id="rId7" o:title="base_50_571931_7"/>
            <v:formulas/>
            <v:path o:connecttype="segments"/>
          </v:shape>
        </w:pic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453"/>
      <w:bookmarkEnd w:id="3"/>
      <w:r w:rsidRPr="0036216B">
        <w:rPr>
          <w:rFonts w:ascii="Times New Roman" w:hAnsi="Times New Roman" w:cs="Times New Roman"/>
          <w:sz w:val="28"/>
          <w:szCs w:val="28"/>
        </w:rPr>
        <w:t>ФОРМА ТАБЛИЧКИ ДЛЯ ОБОЗНАЧЕНИЯ ЭЛЕМЕНТА ППУ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36216B" w:rsidP="0036216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pict>
          <v:shape id="_x0000_i1027" style="width:427.8pt;height:265.4pt" coordsize="" o:spt="100" adj="0,,0" path="" filled="f" stroked="f">
            <v:stroke joinstyle="miter"/>
            <v:imagedata r:id="rId8" o:title="base_50_571931_8"/>
            <v:formulas/>
            <v:path o:connecttype="segments"/>
          </v:shape>
        </w:pic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Размер таблички - формат стандартного листа А4. Размеры цифр и букв </w:t>
      </w:r>
      <w:r w:rsidRPr="0036216B">
        <w:rPr>
          <w:rFonts w:ascii="Times New Roman" w:hAnsi="Times New Roman" w:cs="Times New Roman"/>
          <w:sz w:val="28"/>
          <w:szCs w:val="28"/>
        </w:rPr>
        <w:lastRenderedPageBreak/>
        <w:t>необходимо принимать из соображений равномерного нанесения надписи без переносов.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ПОРЯДОК</w:t>
      </w:r>
    </w:p>
    <w:p w:rsidR="00BF0C1B" w:rsidRPr="0036216B" w:rsidRDefault="00BF0C1B" w:rsidP="0036216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НАНЕСЕНИЯ ОТЛИЧИТЕЛЬНЫХ ЗНАКОВ НА АВТОТРАНСПОРТНЫЕ</w:t>
      </w:r>
    </w:p>
    <w:p w:rsidR="00BF0C1B" w:rsidRPr="0036216B" w:rsidRDefault="00BF0C1B" w:rsidP="0036216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СРЕДСТВА МЧС РОССИИ</w: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36216B" w:rsidP="0036216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pict>
          <v:shape id="_x0000_i1028" style="width:207.65pt;height:339.9pt" coordsize="" o:spt="100" adj="0,,0" path="" filled="f" stroked="f">
            <v:stroke joinstyle="miter"/>
            <v:imagedata r:id="rId9" o:title="base_50_571931_9"/>
            <v:formulas/>
            <v:path o:connecttype="segments"/>
          </v:shape>
        </w:pict>
      </w:r>
    </w:p>
    <w:p w:rsidR="00BF0C1B" w:rsidRPr="0036216B" w:rsidRDefault="00BF0C1B" w:rsidP="0036216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Опознавательный знак для нанесения на служебный автотранспорт МЧС России представляет собой геральдический варяжский щит голубого цвета, со скругленными боковыми сторонами с золотистой окантовкой, в центре щита - эмблема МЧС России.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Щит обрамлен сверху и снизу оранжевой лентой, на складках которой текст голубого цвета: вверху крупно, в две строки - МЧС России», внизу также в две строки девиз: «Предотвращение, спасение, помощь».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Размещение опознавательного знака МЧС России на автомобильной технике.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Опознавательный знак МЧС России для автомобильной техники располагается: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а) На легковых автомобилях типа УАЗ-496; УАЗ-452 по центру левой и правой передних дверей.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б) На грузовых автомобилях типа ЗИЛ-130; КамАЗ-4310; 5320; УРАЛ-4320 (и другие их модификации); КрАЗ-255; ГАЗ-53; ГАЗ-66 - эмблему наклеивать по центру левой и правой дверей кабины машины.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 xml:space="preserve">в) На всех автобусах (за исключением микроавтобуса с двумя дверями для водителя и старшего) эмблемы наклеиваются с внешней стороны по центру кузова </w:t>
      </w:r>
      <w:r w:rsidRPr="0036216B">
        <w:rPr>
          <w:rFonts w:ascii="Times New Roman" w:hAnsi="Times New Roman" w:cs="Times New Roman"/>
          <w:sz w:val="28"/>
          <w:szCs w:val="28"/>
        </w:rPr>
        <w:lastRenderedPageBreak/>
        <w:t>на равном расстоянии между боковыми стеклами и уровнем пола кузова автобуса. Опознавательные полосы - две оранжевые и одна голубая посередине - наносятся на всей автомобильной технике, на фигурном выступе под дверными окнами с дальнейшим сведением на нет на крыльях автомобиля, тремя равными по размеру линиями общей шириной:</w:t>
      </w:r>
    </w:p>
    <w:p w:rsidR="00BF0C1B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УАЗ-496; УАЗ-452 15 см.</w:t>
      </w:r>
    </w:p>
    <w:p w:rsidR="00D23404" w:rsidRPr="0036216B" w:rsidRDefault="00BF0C1B" w:rsidP="003621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16B">
        <w:rPr>
          <w:rFonts w:ascii="Times New Roman" w:hAnsi="Times New Roman" w:cs="Times New Roman"/>
          <w:sz w:val="28"/>
          <w:szCs w:val="28"/>
        </w:rPr>
        <w:t>Для всех грузовых автомобилей ширина полосы 15 см.</w:t>
      </w:r>
    </w:p>
    <w:sectPr w:rsidR="00D23404" w:rsidRPr="0036216B" w:rsidSect="0036216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C1B"/>
    <w:rsid w:val="0036216B"/>
    <w:rsid w:val="007C423B"/>
    <w:rsid w:val="007E49D2"/>
    <w:rsid w:val="00BF0C1B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C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0C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0C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0C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C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0C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0C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0C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5697</Words>
  <Characters>32474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2017-07-12T07:57:00Z</dcterms:created>
  <dcterms:modified xsi:type="dcterms:W3CDTF">2017-07-13T12:22:00Z</dcterms:modified>
</cp:coreProperties>
</file>