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B3" w:rsidRPr="00B80057" w:rsidRDefault="00E870B3">
      <w:pPr>
        <w:pStyle w:val="ConsPlusNormal"/>
        <w:jc w:val="right"/>
        <w:outlineLvl w:val="0"/>
      </w:pPr>
      <w:bookmarkStart w:id="0" w:name="_GoBack"/>
      <w:bookmarkEnd w:id="0"/>
      <w:proofErr w:type="gramStart"/>
      <w:r w:rsidRPr="00B80057">
        <w:t>Введен</w:t>
      </w:r>
      <w:proofErr w:type="gramEnd"/>
      <w:r w:rsidRPr="00B80057">
        <w:t xml:space="preserve"> в действие</w:t>
      </w:r>
    </w:p>
    <w:p w:rsidR="00E870B3" w:rsidRPr="00B80057" w:rsidRDefault="00E870B3">
      <w:pPr>
        <w:pStyle w:val="ConsPlusNormal"/>
        <w:jc w:val="right"/>
      </w:pPr>
      <w:r w:rsidRPr="00B80057">
        <w:t>Постановлением Минстроя РФ</w:t>
      </w:r>
    </w:p>
    <w:p w:rsidR="00E870B3" w:rsidRPr="00B80057" w:rsidRDefault="00E870B3">
      <w:pPr>
        <w:pStyle w:val="ConsPlusNormal"/>
        <w:jc w:val="right"/>
      </w:pPr>
      <w:r w:rsidRPr="00B80057">
        <w:t xml:space="preserve">от 24 июня 1996 г. </w:t>
      </w:r>
      <w:r w:rsidR="00B80057" w:rsidRPr="00B80057">
        <w:t>№</w:t>
      </w:r>
      <w:r w:rsidRPr="00B80057">
        <w:t xml:space="preserve"> 18-40</w: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E870B3">
      <w:pPr>
        <w:pStyle w:val="ConsPlusTitle"/>
        <w:jc w:val="center"/>
      </w:pPr>
      <w:r w:rsidRPr="00B80057">
        <w:t>МЕЖГОСУДАРСТВЕННЫЙ СТАНДАРТ</w:t>
      </w:r>
    </w:p>
    <w:p w:rsidR="00E870B3" w:rsidRPr="00B80057" w:rsidRDefault="00E870B3">
      <w:pPr>
        <w:pStyle w:val="ConsPlusTitle"/>
        <w:jc w:val="center"/>
      </w:pPr>
    </w:p>
    <w:p w:rsidR="00E870B3" w:rsidRPr="00B80057" w:rsidRDefault="00E870B3">
      <w:pPr>
        <w:pStyle w:val="ConsPlusTitle"/>
        <w:jc w:val="center"/>
      </w:pPr>
      <w:r w:rsidRPr="00B80057">
        <w:t>МАТЕРИАЛЫ СТРОИТЕЛЬНЫЕ</w:t>
      </w:r>
    </w:p>
    <w:p w:rsidR="00E870B3" w:rsidRPr="00B80057" w:rsidRDefault="00E870B3">
      <w:pPr>
        <w:pStyle w:val="ConsPlusTitle"/>
        <w:jc w:val="center"/>
      </w:pPr>
    </w:p>
    <w:p w:rsidR="00E870B3" w:rsidRPr="00B80057" w:rsidRDefault="00E870B3">
      <w:pPr>
        <w:pStyle w:val="ConsPlusTitle"/>
        <w:jc w:val="center"/>
      </w:pPr>
      <w:r w:rsidRPr="00B80057">
        <w:t>МЕТОД ИСПЫТАНИЯ НА ВОСПЛАМЕНЯЕМОСТЬ</w:t>
      </w:r>
    </w:p>
    <w:p w:rsidR="00E870B3" w:rsidRPr="00B80057" w:rsidRDefault="00E870B3">
      <w:pPr>
        <w:pStyle w:val="ConsPlusTitle"/>
        <w:jc w:val="center"/>
      </w:pPr>
    </w:p>
    <w:p w:rsidR="00E870B3" w:rsidRPr="00B80057" w:rsidRDefault="00E870B3">
      <w:pPr>
        <w:pStyle w:val="ConsPlusTitle"/>
        <w:jc w:val="center"/>
      </w:pPr>
      <w:proofErr w:type="spellStart"/>
      <w:r w:rsidRPr="00B80057">
        <w:t>Building</w:t>
      </w:r>
      <w:proofErr w:type="spellEnd"/>
      <w:r w:rsidRPr="00B80057">
        <w:t xml:space="preserve"> </w:t>
      </w:r>
      <w:proofErr w:type="spellStart"/>
      <w:r w:rsidRPr="00B80057">
        <w:t>materials</w:t>
      </w:r>
      <w:proofErr w:type="spellEnd"/>
    </w:p>
    <w:p w:rsidR="00E870B3" w:rsidRPr="00B80057" w:rsidRDefault="00E870B3">
      <w:pPr>
        <w:pStyle w:val="ConsPlusTitle"/>
        <w:jc w:val="center"/>
      </w:pPr>
    </w:p>
    <w:p w:rsidR="00E870B3" w:rsidRPr="00B80057" w:rsidRDefault="00E870B3">
      <w:pPr>
        <w:pStyle w:val="ConsPlusTitle"/>
        <w:jc w:val="center"/>
      </w:pPr>
      <w:proofErr w:type="spellStart"/>
      <w:r w:rsidRPr="00B80057">
        <w:t>Ignitability</w:t>
      </w:r>
      <w:proofErr w:type="spellEnd"/>
      <w:r w:rsidRPr="00B80057">
        <w:t xml:space="preserve"> </w:t>
      </w:r>
      <w:proofErr w:type="spellStart"/>
      <w:r w:rsidRPr="00B80057">
        <w:t>Test</w:t>
      </w:r>
      <w:proofErr w:type="spellEnd"/>
      <w:r w:rsidRPr="00B80057">
        <w:t xml:space="preserve"> </w:t>
      </w:r>
      <w:proofErr w:type="spellStart"/>
      <w:r w:rsidRPr="00B80057">
        <w:t>Method</w:t>
      </w:r>
      <w:proofErr w:type="spellEnd"/>
    </w:p>
    <w:p w:rsidR="00E870B3" w:rsidRPr="00B80057" w:rsidRDefault="00E870B3">
      <w:pPr>
        <w:pStyle w:val="ConsPlusTitle"/>
        <w:jc w:val="center"/>
      </w:pPr>
    </w:p>
    <w:p w:rsidR="00E870B3" w:rsidRPr="00B80057" w:rsidRDefault="00E870B3">
      <w:pPr>
        <w:pStyle w:val="ConsPlusTitle"/>
        <w:jc w:val="center"/>
      </w:pPr>
      <w:r w:rsidRPr="00B80057">
        <w:t>ГОСТ 30402-96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right"/>
      </w:pPr>
      <w:r w:rsidRPr="00B80057">
        <w:t>Группа Ж39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right"/>
      </w:pPr>
      <w:r w:rsidRPr="00B80057">
        <w:t>ОКС 13.220.50;</w:t>
      </w:r>
    </w:p>
    <w:p w:rsidR="00E870B3" w:rsidRPr="00B80057" w:rsidRDefault="00E870B3">
      <w:pPr>
        <w:pStyle w:val="ConsPlusNormal"/>
        <w:jc w:val="right"/>
      </w:pPr>
      <w:r w:rsidRPr="00B80057">
        <w:t>ОКСТУ 5207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  <w:outlineLvl w:val="1"/>
        <w:rPr>
          <w:b/>
        </w:rPr>
      </w:pPr>
      <w:r w:rsidRPr="00B80057">
        <w:rPr>
          <w:b/>
        </w:rPr>
        <w:t>Предисловие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ind w:firstLine="540"/>
        <w:jc w:val="both"/>
      </w:pPr>
      <w:r w:rsidRPr="00B80057">
        <w:t xml:space="preserve">1. Разработан Государственным центральным научно-исследовательским и проектно-экспериментальным институтом комплексных проблем строительных конструкций и сооружений имени В.А. Кучеренко (ЦНИИСК им. Кучеренко) Государственного научного центра </w:t>
      </w:r>
      <w:r w:rsidR="00B80057" w:rsidRPr="00B80057">
        <w:t>«</w:t>
      </w:r>
      <w:r w:rsidRPr="00B80057">
        <w:t>Строительство</w:t>
      </w:r>
      <w:r w:rsidR="00B80057" w:rsidRPr="00B80057">
        <w:t>»</w:t>
      </w:r>
      <w:r w:rsidRPr="00B80057">
        <w:t xml:space="preserve"> (ГНЦ </w:t>
      </w:r>
      <w:r w:rsidR="00B80057" w:rsidRPr="00B80057">
        <w:t>«</w:t>
      </w:r>
      <w:r w:rsidRPr="00B80057">
        <w:t>Строительство</w:t>
      </w:r>
      <w:r w:rsidR="00B80057" w:rsidRPr="00B80057">
        <w:t>»</w:t>
      </w:r>
      <w:r w:rsidRPr="00B80057">
        <w:t>) Минстроя России совместно с Всероссийским научно-исследовательским институтом противопожарной обороны (ВНИИПО) МВД России и Центром противопожарных исследований и тепловой защиты в строительстве ЦНИИСК (ЦПИТЗС ЦНИИСК).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proofErr w:type="gramStart"/>
      <w:r w:rsidRPr="00B80057">
        <w:t>Внесен</w:t>
      </w:r>
      <w:proofErr w:type="gramEnd"/>
      <w:r w:rsidRPr="00B80057">
        <w:t xml:space="preserve"> Минстроем России.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2. Принят Межгосударственной научно-технической комиссией по стандартизации, техническому нормированию и сертификации в строительстве (МНТКС) 15 мая 1996 г.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За принятие проголосовали:</w:t>
      </w:r>
    </w:p>
    <w:p w:rsidR="00E870B3" w:rsidRPr="00B80057" w:rsidRDefault="00E870B3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360"/>
        <w:gridCol w:w="5739"/>
      </w:tblGrid>
      <w:tr w:rsidR="00B80057" w:rsidRPr="00B80057" w:rsidTr="00B80057">
        <w:trPr>
          <w:trHeight w:val="240"/>
          <w:jc w:val="center"/>
        </w:trPr>
        <w:tc>
          <w:tcPr>
            <w:tcW w:w="3360" w:type="dxa"/>
            <w:vAlign w:val="center"/>
          </w:tcPr>
          <w:p w:rsidR="00E870B3" w:rsidRPr="00B80057" w:rsidRDefault="00E870B3" w:rsidP="00B80057">
            <w:pPr>
              <w:pStyle w:val="ConsPlusNonformat"/>
              <w:jc w:val="center"/>
            </w:pPr>
            <w:r w:rsidRPr="00B80057">
              <w:t>Наименование государства</w:t>
            </w:r>
          </w:p>
        </w:tc>
        <w:tc>
          <w:tcPr>
            <w:tcW w:w="5739" w:type="dxa"/>
            <w:vAlign w:val="center"/>
          </w:tcPr>
          <w:p w:rsidR="00E870B3" w:rsidRPr="00B80057" w:rsidRDefault="00E870B3" w:rsidP="00B80057">
            <w:pPr>
              <w:pStyle w:val="ConsPlusNonformat"/>
              <w:jc w:val="center"/>
            </w:pPr>
            <w:r w:rsidRPr="00B80057">
              <w:t>Наименование органа государственного</w:t>
            </w:r>
          </w:p>
          <w:p w:rsidR="00E870B3" w:rsidRPr="00B80057" w:rsidRDefault="00E870B3" w:rsidP="00B80057">
            <w:pPr>
              <w:pStyle w:val="ConsPlusNonformat"/>
              <w:jc w:val="center"/>
            </w:pPr>
            <w:r w:rsidRPr="00B80057">
              <w:t>управления строительством</w:t>
            </w:r>
          </w:p>
        </w:tc>
      </w:tr>
      <w:tr w:rsidR="00B80057" w:rsidRPr="00B80057" w:rsidTr="00B80057">
        <w:trPr>
          <w:trHeight w:val="240"/>
          <w:jc w:val="center"/>
        </w:trPr>
        <w:tc>
          <w:tcPr>
            <w:tcW w:w="3360" w:type="dxa"/>
            <w:tcBorders>
              <w:top w:val="nil"/>
            </w:tcBorders>
          </w:tcPr>
          <w:p w:rsidR="00E870B3" w:rsidRPr="00B80057" w:rsidRDefault="00E870B3" w:rsidP="00B80057">
            <w:pPr>
              <w:pStyle w:val="ConsPlusNonformat"/>
            </w:pPr>
            <w:r w:rsidRPr="00B80057">
              <w:t>Азербайджанская Республика</w:t>
            </w:r>
          </w:p>
          <w:p w:rsidR="00E870B3" w:rsidRPr="00B80057" w:rsidRDefault="00E870B3" w:rsidP="00B80057">
            <w:pPr>
              <w:pStyle w:val="ConsPlusNonformat"/>
            </w:pPr>
            <w:r w:rsidRPr="00B80057">
              <w:t>Республика Армения</w:t>
            </w:r>
          </w:p>
          <w:p w:rsidR="00E870B3" w:rsidRPr="00B80057" w:rsidRDefault="00E870B3" w:rsidP="00B80057">
            <w:pPr>
              <w:pStyle w:val="ConsPlusNonformat"/>
            </w:pPr>
            <w:r w:rsidRPr="00B80057">
              <w:t>Республика Молдова</w:t>
            </w:r>
          </w:p>
          <w:p w:rsidR="00E870B3" w:rsidRPr="00B80057" w:rsidRDefault="00E870B3" w:rsidP="00B80057">
            <w:pPr>
              <w:pStyle w:val="ConsPlusNonformat"/>
            </w:pPr>
            <w:r w:rsidRPr="00B80057">
              <w:t>Российская Федерация</w:t>
            </w:r>
          </w:p>
          <w:p w:rsidR="00E870B3" w:rsidRPr="00B80057" w:rsidRDefault="00E870B3" w:rsidP="00B80057">
            <w:pPr>
              <w:pStyle w:val="ConsPlusNonformat"/>
            </w:pPr>
            <w:r w:rsidRPr="00B80057">
              <w:t>Республика Таджикистан</w:t>
            </w:r>
          </w:p>
          <w:p w:rsidR="00E870B3" w:rsidRPr="00B80057" w:rsidRDefault="00E870B3" w:rsidP="00B80057">
            <w:pPr>
              <w:pStyle w:val="ConsPlusNonformat"/>
            </w:pPr>
            <w:r w:rsidRPr="00B80057">
              <w:t>Республика Узбекистан</w:t>
            </w:r>
          </w:p>
        </w:tc>
        <w:tc>
          <w:tcPr>
            <w:tcW w:w="5739" w:type="dxa"/>
            <w:tcBorders>
              <w:top w:val="nil"/>
            </w:tcBorders>
          </w:tcPr>
          <w:p w:rsidR="00E870B3" w:rsidRPr="00B80057" w:rsidRDefault="00E870B3" w:rsidP="00B80057">
            <w:pPr>
              <w:pStyle w:val="ConsPlusNonformat"/>
            </w:pPr>
            <w:r w:rsidRPr="00B80057">
              <w:t>Госстрой Азербайджанской Республики</w:t>
            </w:r>
          </w:p>
          <w:p w:rsidR="00E870B3" w:rsidRPr="00B80057" w:rsidRDefault="00E870B3" w:rsidP="00B80057">
            <w:pPr>
              <w:pStyle w:val="ConsPlusNonformat"/>
            </w:pPr>
            <w:proofErr w:type="spellStart"/>
            <w:r w:rsidRPr="00B80057">
              <w:t>Госупрархитектуры</w:t>
            </w:r>
            <w:proofErr w:type="spellEnd"/>
            <w:r w:rsidRPr="00B80057">
              <w:t xml:space="preserve"> Республики Армения</w:t>
            </w:r>
          </w:p>
          <w:p w:rsidR="00E870B3" w:rsidRPr="00B80057" w:rsidRDefault="00E870B3" w:rsidP="00B80057">
            <w:pPr>
              <w:pStyle w:val="ConsPlusNonformat"/>
            </w:pPr>
            <w:proofErr w:type="spellStart"/>
            <w:r w:rsidRPr="00B80057">
              <w:t>Минархстрой</w:t>
            </w:r>
            <w:proofErr w:type="spellEnd"/>
            <w:r w:rsidRPr="00B80057">
              <w:t xml:space="preserve"> Республики Молдова</w:t>
            </w:r>
          </w:p>
          <w:p w:rsidR="00E870B3" w:rsidRPr="00B80057" w:rsidRDefault="00E870B3" w:rsidP="00B80057">
            <w:pPr>
              <w:pStyle w:val="ConsPlusNonformat"/>
            </w:pPr>
            <w:r w:rsidRPr="00B80057">
              <w:t>Минстрой России</w:t>
            </w:r>
          </w:p>
          <w:p w:rsidR="00E870B3" w:rsidRPr="00B80057" w:rsidRDefault="00E870B3" w:rsidP="00B80057">
            <w:pPr>
              <w:pStyle w:val="ConsPlusNonformat"/>
            </w:pPr>
            <w:r w:rsidRPr="00B80057">
              <w:t>Госстрой Республики Таджикистан</w:t>
            </w:r>
          </w:p>
          <w:p w:rsidR="00E870B3" w:rsidRPr="00B80057" w:rsidRDefault="00E870B3" w:rsidP="00B80057">
            <w:pPr>
              <w:pStyle w:val="ConsPlusNonformat"/>
            </w:pPr>
            <w:proofErr w:type="spellStart"/>
            <w:r w:rsidRPr="00B80057">
              <w:t>Госкомархитектстрой</w:t>
            </w:r>
            <w:proofErr w:type="spellEnd"/>
            <w:r w:rsidRPr="00B80057">
              <w:t xml:space="preserve"> Республики</w:t>
            </w:r>
            <w:r w:rsidR="00B80057" w:rsidRPr="00B80057">
              <w:t xml:space="preserve"> </w:t>
            </w:r>
            <w:r w:rsidRPr="00B80057">
              <w:t>Узбекистан</w:t>
            </w:r>
          </w:p>
        </w:tc>
      </w:tr>
    </w:tbl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ind w:firstLine="540"/>
        <w:jc w:val="both"/>
      </w:pPr>
      <w:r w:rsidRPr="00B80057">
        <w:t>3. Введен впервые.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4. </w:t>
      </w:r>
      <w:proofErr w:type="gramStart"/>
      <w:r w:rsidRPr="00B80057">
        <w:t>Введен</w:t>
      </w:r>
      <w:proofErr w:type="gramEnd"/>
      <w:r w:rsidRPr="00B80057">
        <w:t xml:space="preserve"> в действие с 01.07.1996 в качестве государственного стандарта Российской Федерации Постановлением Минстроя России от 24.06.1996 </w:t>
      </w:r>
      <w:r w:rsidR="00B80057" w:rsidRPr="00B80057">
        <w:t>№</w:t>
      </w:r>
      <w:r w:rsidRPr="00B80057">
        <w:t xml:space="preserve"> 18-40.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  <w:outlineLvl w:val="1"/>
        <w:rPr>
          <w:b/>
        </w:rPr>
      </w:pPr>
      <w:r w:rsidRPr="00B80057">
        <w:rPr>
          <w:b/>
        </w:rPr>
        <w:t>Введение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ind w:firstLine="540"/>
        <w:jc w:val="both"/>
      </w:pPr>
      <w:r w:rsidRPr="00B80057">
        <w:t xml:space="preserve">Настоящий стандарт разработан на основе стандарта ИСО 5657-86 </w:t>
      </w:r>
      <w:r w:rsidR="00B80057" w:rsidRPr="00B80057">
        <w:t>«</w:t>
      </w:r>
      <w:r w:rsidRPr="00B80057">
        <w:t xml:space="preserve">Огневые испытания - </w:t>
      </w:r>
      <w:r w:rsidRPr="00B80057">
        <w:lastRenderedPageBreak/>
        <w:t>реакция на огонь - воспламеняемость строительных конструкций</w:t>
      </w:r>
      <w:r w:rsidR="00B80057" w:rsidRPr="00B80057">
        <w:t>»</w:t>
      </w:r>
      <w:r w:rsidRPr="00B80057">
        <w:t>. В стандарте использованы принципиальные положения по определению способности к воспламенению строительных изделий при одновременном воздействии лучистого теплового потока и открытого пламени от источника зажигания. Оборудование для испытаний является идентичным оборудованию, рекомендуемому в стандарте ИСО.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  <w:outlineLvl w:val="1"/>
        <w:rPr>
          <w:b/>
        </w:rPr>
      </w:pPr>
      <w:r w:rsidRPr="00B80057">
        <w:rPr>
          <w:b/>
        </w:rPr>
        <w:t>1. Область применения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ind w:firstLine="540"/>
        <w:jc w:val="both"/>
      </w:pPr>
      <w:r w:rsidRPr="00B80057">
        <w:t>Настоящий стандарт устанавливает метод испытания строительных материалов на воспламеняемость и классификацию их по группам воспламеняемости.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Настоящий стандарт применяется для всех однородных и слоистых горючих строительных материалов.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  <w:outlineLvl w:val="1"/>
        <w:rPr>
          <w:b/>
        </w:rPr>
      </w:pPr>
      <w:r w:rsidRPr="00B80057">
        <w:rPr>
          <w:b/>
        </w:rPr>
        <w:t>2. Нормативные ссылки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ind w:firstLine="540"/>
        <w:jc w:val="both"/>
      </w:pPr>
      <w:r w:rsidRPr="00B80057">
        <w:t>В настоящем стандарте использованы ссылки на следующие нормативные документы:</w:t>
      </w:r>
    </w:p>
    <w:p w:rsidR="00E870B3" w:rsidRPr="00B80057" w:rsidRDefault="00E870B3">
      <w:pPr>
        <w:spacing w:after="1"/>
      </w:pPr>
    </w:p>
    <w:p w:rsidR="00B80057" w:rsidRPr="00B80057" w:rsidRDefault="00B80057" w:rsidP="00B80057">
      <w:pPr>
        <w:pStyle w:val="ConsPlusNormal"/>
        <w:ind w:firstLine="567"/>
        <w:jc w:val="both"/>
        <w:rPr>
          <w:i/>
        </w:rPr>
      </w:pPr>
      <w:r w:rsidRPr="00B80057">
        <w:rPr>
          <w:i/>
        </w:rPr>
        <w:t>Примечание. В официальном тексте документа допущена опечатка: имеется в виду ГОСТ 12.1.005-88, а не ГОСТ 12.005-88.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ГОСТ 12.005-88. ССБТ. Общие санитарно-гигиенические требования к воздуху рабочей зоны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ГОСТ 12.1.019-79. ССБТ. </w:t>
      </w:r>
      <w:hyperlink r:id="rId5" w:history="1">
        <w:r w:rsidRPr="00A03C5B">
          <w:rPr>
            <w:rStyle w:val="a3"/>
            <w:color w:val="auto"/>
            <w:u w:val="none"/>
          </w:rPr>
          <w:t>Электробезопасность</w:t>
        </w:r>
      </w:hyperlink>
      <w:r w:rsidRPr="00B80057">
        <w:t>. Общие требования и номенклатура видов защиты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ГОСТ 18124-95. Листы асбестоцементные плоские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ГОСТ 30244-94. Материалы строительные. Методы испытания на горючесть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proofErr w:type="gramStart"/>
      <w:r w:rsidRPr="00B80057">
        <w:t>СТ</w:t>
      </w:r>
      <w:proofErr w:type="gramEnd"/>
      <w:r w:rsidRPr="00B80057">
        <w:t xml:space="preserve"> СЭВ 383-87. Пожарная безопасность в строительстве. Термины и определения.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  <w:outlineLvl w:val="1"/>
        <w:rPr>
          <w:b/>
        </w:rPr>
      </w:pPr>
      <w:r w:rsidRPr="00B80057">
        <w:rPr>
          <w:b/>
        </w:rPr>
        <w:t>3. Определения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ind w:firstLine="540"/>
        <w:jc w:val="both"/>
      </w:pPr>
      <w:r w:rsidRPr="00B80057">
        <w:t xml:space="preserve">В настоящем стандарте применяют термины и определения по </w:t>
      </w:r>
      <w:proofErr w:type="gramStart"/>
      <w:r w:rsidRPr="00B80057">
        <w:t>СТ</w:t>
      </w:r>
      <w:proofErr w:type="gramEnd"/>
      <w:r w:rsidRPr="00B80057">
        <w:t xml:space="preserve"> СЭВ 383, а также следующие термины с соответствующими определениями: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3.1. Воспламеняемость - способность веществ и материалов к воспламенению.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3.2. Воспламенение - начало пламенного горения под действием источника зажигания, при настоящем стандартном испытании характеризуется устойчивым пламенным горением.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3.3. Время воспламенения - время от начала испытания до возникновения устойчивого пламенного горения.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3.4. Устойчивое пламенное горение - горение, продолжающееся до очередного воздействия на образец пламени от источника зажигания.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3.5. Поверхностная плотность теплового потока (ППТП) - лучистый тепловой поток, воздействующий на единицу поверхности образца.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3.6. Критическая поверхностная плотность теплового потока (КППТП) - минимальное значение поверхностной плотности теплового потока, при котором возникает устойчивое пламенное горение.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3.7. Экспонируемая поверхность - поверхность образца, подвергающаяся воздействию </w:t>
      </w:r>
      <w:r w:rsidRPr="00B80057">
        <w:lastRenderedPageBreak/>
        <w:t>лучистого теплового потока и пламени от источника зажигания при испытании на воспламеняемость.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  <w:outlineLvl w:val="1"/>
        <w:rPr>
          <w:b/>
        </w:rPr>
      </w:pPr>
      <w:r w:rsidRPr="00B80057">
        <w:rPr>
          <w:b/>
        </w:rPr>
        <w:t>4. Основные положения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ind w:firstLine="540"/>
        <w:jc w:val="both"/>
      </w:pPr>
      <w:r w:rsidRPr="00B80057">
        <w:t>4.1. Сущность метода состоит в определении параметров воспламеняемости материала при заданных стандартом уровнях воздействия на поверхность образца лучистого теплового потока и пламени от источника зажигания.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Параметрами воспламеняемости материала являются КППТП и время воспламенения.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Для классификации материалов по группам воспламеняемости используют КППТП.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1" w:name="P81"/>
      <w:bookmarkEnd w:id="1"/>
      <w:r w:rsidRPr="00B80057">
        <w:t>4.2. Плотность лучистого теплового потока должна находиться в пределах от 10 до 50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>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4.3. Начальная плотность лучистого теплового потока при испытаниях (ППТП) равна 30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>.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 w:rsidP="00B80057">
      <w:pPr>
        <w:pStyle w:val="ConsPlusNormal"/>
        <w:jc w:val="center"/>
        <w:outlineLvl w:val="1"/>
        <w:rPr>
          <w:b/>
        </w:rPr>
      </w:pPr>
      <w:r w:rsidRPr="00B80057">
        <w:rPr>
          <w:b/>
        </w:rPr>
        <w:t>5. Классификация строительных материалов</w:t>
      </w:r>
      <w:r w:rsidR="00B80057" w:rsidRPr="00B80057">
        <w:rPr>
          <w:b/>
        </w:rPr>
        <w:t xml:space="preserve"> </w:t>
      </w:r>
      <w:r w:rsidRPr="00B80057">
        <w:rPr>
          <w:b/>
        </w:rPr>
        <w:t>по группам воспламеняемости</w:t>
      </w:r>
    </w:p>
    <w:p w:rsidR="00E870B3" w:rsidRPr="00B80057" w:rsidRDefault="00E870B3">
      <w:pPr>
        <w:pStyle w:val="ConsPlusNormal"/>
        <w:ind w:firstLine="540"/>
        <w:jc w:val="both"/>
      </w:pPr>
    </w:p>
    <w:p w:rsidR="00B80057" w:rsidRPr="00B80057" w:rsidRDefault="00B80057" w:rsidP="00B80057">
      <w:pPr>
        <w:pStyle w:val="ConsPlusNormal"/>
        <w:ind w:firstLine="567"/>
        <w:jc w:val="both"/>
        <w:rPr>
          <w:i/>
        </w:rPr>
      </w:pPr>
      <w:r w:rsidRPr="00B80057">
        <w:rPr>
          <w:i/>
        </w:rPr>
        <w:t xml:space="preserve">Примечание. Применение на добровольной основе пункта 5.1 обеспечивает соблюдение требований Федерального закона от 22.07.2008 № 123-ФЗ «Технический регламент о требованиях пожарной безопасности» (Приказ </w:t>
      </w:r>
      <w:proofErr w:type="spellStart"/>
      <w:r w:rsidRPr="00B80057">
        <w:rPr>
          <w:i/>
        </w:rPr>
        <w:t>Росстандарта</w:t>
      </w:r>
      <w:proofErr w:type="spellEnd"/>
      <w:r w:rsidRPr="00B80057">
        <w:rPr>
          <w:i/>
        </w:rPr>
        <w:t xml:space="preserve"> от 16.04.2014 № 474).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5.1. Горючие строительные материалы (по ГОСТ 30244) в зависимости от величины КППТП подразделяют на три группы воспламеняемости: В</w:t>
      </w:r>
      <w:proofErr w:type="gramStart"/>
      <w:r w:rsidRPr="00B80057">
        <w:t>1</w:t>
      </w:r>
      <w:proofErr w:type="gramEnd"/>
      <w:r w:rsidRPr="00B80057">
        <w:t>, В2, В3 (таблица 1).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right"/>
      </w:pPr>
      <w:r w:rsidRPr="00B80057">
        <w:t>Таблица 1</w:t>
      </w:r>
    </w:p>
    <w:p w:rsidR="00E870B3" w:rsidRPr="00B80057" w:rsidRDefault="00E870B3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560"/>
        <w:gridCol w:w="3480"/>
      </w:tblGrid>
      <w:tr w:rsidR="00B80057" w:rsidRPr="00B80057" w:rsidTr="00B80057">
        <w:trPr>
          <w:trHeight w:val="240"/>
          <w:jc w:val="center"/>
        </w:trPr>
        <w:tc>
          <w:tcPr>
            <w:tcW w:w="4560" w:type="dxa"/>
          </w:tcPr>
          <w:p w:rsidR="00E870B3" w:rsidRPr="00B80057" w:rsidRDefault="00E870B3" w:rsidP="00B80057">
            <w:pPr>
              <w:pStyle w:val="ConsPlusNonformat"/>
              <w:jc w:val="center"/>
            </w:pPr>
            <w:r w:rsidRPr="00B80057">
              <w:t>Группа воспламеняемости материала</w:t>
            </w:r>
          </w:p>
        </w:tc>
        <w:tc>
          <w:tcPr>
            <w:tcW w:w="3480" w:type="dxa"/>
          </w:tcPr>
          <w:p w:rsidR="00E870B3" w:rsidRPr="00B80057" w:rsidRDefault="00E870B3" w:rsidP="00B80057">
            <w:pPr>
              <w:pStyle w:val="ConsPlusNonformat"/>
              <w:jc w:val="center"/>
            </w:pPr>
            <w:r w:rsidRPr="00B80057">
              <w:t>КППТП, кВт/м</w:t>
            </w:r>
            <w:proofErr w:type="gramStart"/>
            <w:r w:rsidRPr="00B80057">
              <w:rPr>
                <w:vertAlign w:val="superscript"/>
              </w:rPr>
              <w:t>2</w:t>
            </w:r>
            <w:proofErr w:type="gramEnd"/>
          </w:p>
        </w:tc>
      </w:tr>
      <w:tr w:rsidR="00B80057" w:rsidRPr="00B80057" w:rsidTr="00B80057">
        <w:trPr>
          <w:trHeight w:val="240"/>
          <w:jc w:val="center"/>
        </w:trPr>
        <w:tc>
          <w:tcPr>
            <w:tcW w:w="4560" w:type="dxa"/>
            <w:tcBorders>
              <w:top w:val="nil"/>
            </w:tcBorders>
          </w:tcPr>
          <w:p w:rsidR="00E870B3" w:rsidRPr="00B80057" w:rsidRDefault="00E870B3" w:rsidP="00B80057">
            <w:pPr>
              <w:pStyle w:val="ConsPlusNonformat"/>
              <w:jc w:val="center"/>
            </w:pPr>
            <w:r w:rsidRPr="00B80057">
              <w:t>В</w:t>
            </w:r>
            <w:proofErr w:type="gramStart"/>
            <w:r w:rsidRPr="00B80057">
              <w:t>1</w:t>
            </w:r>
            <w:proofErr w:type="gramEnd"/>
          </w:p>
          <w:p w:rsidR="00E870B3" w:rsidRPr="00B80057" w:rsidRDefault="00E870B3" w:rsidP="00B80057">
            <w:pPr>
              <w:pStyle w:val="ConsPlusNonformat"/>
              <w:jc w:val="center"/>
            </w:pPr>
            <w:r w:rsidRPr="00B80057">
              <w:t>В</w:t>
            </w:r>
            <w:proofErr w:type="gramStart"/>
            <w:r w:rsidRPr="00B80057">
              <w:t>2</w:t>
            </w:r>
            <w:proofErr w:type="gramEnd"/>
          </w:p>
          <w:p w:rsidR="00E870B3" w:rsidRPr="00B80057" w:rsidRDefault="00E870B3" w:rsidP="00B80057">
            <w:pPr>
              <w:pStyle w:val="ConsPlusNonformat"/>
              <w:jc w:val="center"/>
            </w:pPr>
            <w:r w:rsidRPr="00B80057">
              <w:t>В3</w:t>
            </w:r>
          </w:p>
        </w:tc>
        <w:tc>
          <w:tcPr>
            <w:tcW w:w="3480" w:type="dxa"/>
            <w:tcBorders>
              <w:top w:val="nil"/>
            </w:tcBorders>
          </w:tcPr>
          <w:p w:rsidR="00E870B3" w:rsidRPr="00B80057" w:rsidRDefault="00E870B3" w:rsidP="00B80057">
            <w:pPr>
              <w:pStyle w:val="ConsPlusNonformat"/>
              <w:jc w:val="center"/>
            </w:pPr>
            <w:r w:rsidRPr="00B80057">
              <w:t>35 и более</w:t>
            </w:r>
          </w:p>
          <w:p w:rsidR="00E870B3" w:rsidRPr="00B80057" w:rsidRDefault="00E870B3" w:rsidP="00B80057">
            <w:pPr>
              <w:pStyle w:val="ConsPlusNonformat"/>
              <w:jc w:val="center"/>
            </w:pPr>
            <w:r w:rsidRPr="00B80057">
              <w:t>От 20 до 35</w:t>
            </w:r>
          </w:p>
          <w:p w:rsidR="00E870B3" w:rsidRPr="00B80057" w:rsidRDefault="00E870B3" w:rsidP="00B80057">
            <w:pPr>
              <w:pStyle w:val="ConsPlusNonformat"/>
              <w:jc w:val="center"/>
            </w:pPr>
            <w:r w:rsidRPr="00B80057">
              <w:t>Менее 20</w:t>
            </w:r>
          </w:p>
        </w:tc>
      </w:tr>
    </w:tbl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  <w:outlineLvl w:val="1"/>
        <w:rPr>
          <w:b/>
        </w:rPr>
      </w:pPr>
      <w:r w:rsidRPr="00B80057">
        <w:rPr>
          <w:b/>
        </w:rPr>
        <w:t>6. Образцы для испытания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ind w:firstLine="540"/>
        <w:jc w:val="both"/>
      </w:pPr>
      <w:bookmarkStart w:id="2" w:name="P102"/>
      <w:bookmarkEnd w:id="2"/>
      <w:r w:rsidRPr="00B80057">
        <w:t>6.1. Для испытаний изготавливают 15 образцов, имеющих форму квадрата, со стороной 165 мм и отклонением минус 5 мм. Толщина образцов должна составлять не более 70 мм. При каждой величине ППТП испытания проводят на трех образцах.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6.2. При изготовлении образцов экспонируемая поверхность не должна подвергаться обработке.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При наличии на экспонируемой поверхности гофров, рельефа, тиснения и т.п. размер выступов (впадин) должен составлять не более 5 мм.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При несоответствии экспонируемой поверхности указанным требованиям допускается для проведения испытаний изготавливать образцы из материала с плоской поверхностью, т.е. без гофров, рельефа, тиснения и т.п.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3" w:name="P106"/>
      <w:bookmarkEnd w:id="3"/>
      <w:r w:rsidRPr="00B80057">
        <w:t>6.3. Образцы для стандартного испытания материалов, применяемых только в качестве отделочных и облицовочных, а также для испытания лакокрасочных покрытий и кровельных материалов изготавливают в сочетании с негорючей основой. Способ крепления должен обеспечивать плотный контакт поверхностей материала и основы.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lastRenderedPageBreak/>
        <w:t>В качестве негорючей основы следует использовать асбестоцементные листы по ГОСТ 18124 толщиной 10 или 12 мм.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В тех случаях, когда в конкретной технической документации не обеспечиваются условия для стандартного испытания, образцы изготавливают с основой и креплением, </w:t>
      </w:r>
      <w:proofErr w:type="gramStart"/>
      <w:r w:rsidRPr="00B80057">
        <w:t>указанными</w:t>
      </w:r>
      <w:proofErr w:type="gramEnd"/>
      <w:r w:rsidRPr="00B80057">
        <w:t xml:space="preserve"> в технической документации.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6.4. Лакокрасочные покрытия, а также кровельные мастики следует наносить на основу не менее чем в четыре слоя, при этом расход материала при нанесении на основу каждого слоя должен соответствовать </w:t>
      </w:r>
      <w:proofErr w:type="gramStart"/>
      <w:r w:rsidRPr="00B80057">
        <w:t>принятому</w:t>
      </w:r>
      <w:proofErr w:type="gramEnd"/>
      <w:r w:rsidRPr="00B80057">
        <w:t xml:space="preserve"> в технической документации.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6.5. Для материалов, применяемых как самостоятельно (например, для конструкций), так и в качестве отделочных и облицовочных, образцы должны быть изготовлены согласно 6.1 (один комплект) и 6.3 (один комплект).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В этом случае испытания проводят отдельно для материала и отдельно с применением его в качестве отделок и облицовок.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6.6. Для слоистых материалов с различными поверхностными слоями изготавливают два комплекта образцов (согласно 6.1) с целью экспонирования обеих поверхностей. При этом группу воспламеняемости материала устанавливают по худшему результату.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4" w:name="P113"/>
      <w:bookmarkEnd w:id="4"/>
      <w:r w:rsidRPr="00B80057">
        <w:t>6.7. Перед испытанием образцы кондиционируют до достижения постоянной массы при температуре 23 +/- 2</w:t>
      </w:r>
      <w:proofErr w:type="gramStart"/>
      <w:r w:rsidRPr="00B80057">
        <w:t xml:space="preserve"> °С</w:t>
      </w:r>
      <w:proofErr w:type="gramEnd"/>
      <w:r w:rsidRPr="00B80057">
        <w:t xml:space="preserve"> и относительной влажности 50 +/- 5%. Постоянство массы считают достигнутым, если при двух последовательных взвешиваниях с интервалом в 24 ч отличие в массе образцов составляет не более 0,1% от исходной массы образца.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  <w:outlineLvl w:val="1"/>
        <w:rPr>
          <w:b/>
        </w:rPr>
      </w:pPr>
      <w:r w:rsidRPr="00B80057">
        <w:rPr>
          <w:b/>
        </w:rPr>
        <w:t>7. Оборудование для испытания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ind w:firstLine="540"/>
        <w:jc w:val="both"/>
      </w:pPr>
      <w:r w:rsidRPr="00B80057">
        <w:t>7.1. Общие положения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7.1.1. Общий вид установки для испытаний на воспламеняемость приведен на рисунке А</w:t>
      </w:r>
      <w:proofErr w:type="gramStart"/>
      <w:r w:rsidRPr="00B80057">
        <w:t>1</w:t>
      </w:r>
      <w:proofErr w:type="gramEnd"/>
      <w:r w:rsidRPr="00B80057">
        <w:t>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Установка состоит из следующих основных частей: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- опорная станина;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- подвижная платформа;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- источник лучистого теплового потока (радиационная панель);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- система зажигания (вспомогательная стационарная горелка, подвижная горелка с механизированной и ручной системой перемещения).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7.1.2. В состав вспомогательного оборудования входят: держатель образца, экранирующая пластина, держатель с образцом-имитатором, система регулирования расхода газовоздушной смеси, регулирующий и регистрирующие приборы, измеритель теплового потока, регистратор времени.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7.1.3. Установка должна быть оборудована защитным экраном и вытяжным зонтом.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7.1.4. Все размеры, приведенные в следующем описании установки, а также на рисунках, являются номинальными, за исключением указанных с допусками.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7.2. Опорная станина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7.2.1. Конструкция опорной станины, основные узлы и детали системы перемещения </w:t>
      </w:r>
      <w:r w:rsidRPr="00B80057">
        <w:lastRenderedPageBreak/>
        <w:t>подвижной платформы представлены на рисунках А</w:t>
      </w:r>
      <w:proofErr w:type="gramStart"/>
      <w:r w:rsidRPr="00B80057">
        <w:t>2</w:t>
      </w:r>
      <w:proofErr w:type="gramEnd"/>
      <w:r w:rsidRPr="00B80057">
        <w:t xml:space="preserve"> и А3.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7.2.2. Основание опорной станины изготавливают в виде прямоугольной рамы размером 275 х 230 мм из профиля квадратного сечения 25 х 25 мм с толщиной стенки 1,5 мм.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По углам рамы монтируют </w:t>
      </w:r>
      <w:proofErr w:type="gramStart"/>
      <w:r w:rsidRPr="00B80057">
        <w:t>четыре вертикальные опоры</w:t>
      </w:r>
      <w:proofErr w:type="gramEnd"/>
      <w:r w:rsidRPr="00B80057">
        <w:t xml:space="preserve"> диаметром 16 мм для крепления защитной плиты. Расстояние от рамы до защитной плиты составляет 260 мм.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7.2.3. Защитная плита имеет форму квадрата со стороной 220 мм, толщина плиты 4 мм. В центре защитной плиты вырезают отверстие диаметром 150 мм. По краю отверстия с верхней стороны плиты срезают фаску под углом 45° размером 4 мм.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7.2.4. Подвижная платформа для образца имеет форму квадрата со стороной 180 мм, толщина платформы 4 мм. В центре нижней стороны платформы устанавливают вертикальный стержень с бобышкой на нижнем конце стержня. Диаметр стержня - 12 мм, длина - 148 мм.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7.2.5. Система перемещения подвижной платформы состоит из двух вертикальных направляющих (стержни длиной не менее 355 мм и диаметром 20 мм), горизонтальной подвижной планки (сечение 25 х 25 мм) с двумя втулками на концах планки и отверстием в центре для вертикального стержня подвижной платформы, а также рычага с противовесом.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7.2.6. Вертикальные направляющие монтируют по центру коротких сторон рамы (основание опорной станины).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Горизонтальную подвижную планку устанавливают на вертикальных направляющих. Втулки должны обеспечивать свободное перемещение планки по направляющим. Положение планки фиксируется вручную, с помощью винтов.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Под горизонтальной планкой устанавливают рычаг с противовесом. Рычаг должен заканчиваться роликом, упирающимся в бобышку вертикального стержня подвижной платформы.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5" w:name="P137"/>
      <w:bookmarkEnd w:id="5"/>
      <w:r w:rsidRPr="00B80057">
        <w:t>7.2.7. Рычаг с противовесом должен обеспечивать перемещение платформы с образцом к защитной плите до достижения плотного контакта поверхности образца и защитной плиты. Указанным требованиям удовлетворяет рычаг длиной примерно 320 мм с противовесом массой примерно 3 кг.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При плавлении, размягчении или усадке образца допускается смещение платформы относительно защитной плиты на расстояние не более 5 мм. Для выполнения этого требования устанавливают регулируемый стопор или используют прокладки из негорючего материала, размещаемые между платформой и защитной плитой.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7.3. Радиационная панель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7.3.1. Радиационная панель (рисунки А</w:t>
      </w:r>
      <w:proofErr w:type="gramStart"/>
      <w:r w:rsidRPr="00B80057">
        <w:t>4</w:t>
      </w:r>
      <w:proofErr w:type="gramEnd"/>
      <w:r w:rsidRPr="00B80057">
        <w:t>, А5) должна обеспечивать заданные стандартом уровни воздействия лучистого теплового потока в центре отверстия защитной плиты, в плоскости, совпадающей с ее нижней поверхностью.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7.3.2. Радиационную панель устанавливают на вертикальных направляющих опорной станины. При этом расстояние от нижней кромки радиационной панели до верхней плоскости защитной плиты должно составлять 22 +/- 1 мм.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7.3.3. Радиационная панель состоит из кожуха с теплоизолирующим слоем и нагревательного элемента. В качестве теплоизолирующего слоя используют негорючий </w:t>
      </w:r>
      <w:proofErr w:type="spellStart"/>
      <w:r w:rsidRPr="00B80057">
        <w:t>минераловолокнистый</w:t>
      </w:r>
      <w:proofErr w:type="spellEnd"/>
      <w:r w:rsidRPr="00B80057">
        <w:t xml:space="preserve"> материал.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7.3.4. Нагревательный элемент диаметром от 8 до 10 мм и длиной примерно 3,5 м </w:t>
      </w:r>
      <w:r w:rsidRPr="00B80057">
        <w:lastRenderedPageBreak/>
        <w:t>(номинальная мощность 3 кВт) сворачивают в форме усеченного конуса и прикрепляют к внутренней поверхности кожуха.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7.3.5. На поверхности нагревательного элемента в двух диаметрально противоположных точках устанавливают два термоэлектрических преобразователя. Каждый из них прикрепляют к витку нагревательного элемента на расстоянии от 1/3 до 1/2 высоты кожуха радиационной панели от ее верхней кромки.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Способ крепления должен обеспечивать плотный контакт термоэлектрических преобразователей с поверхностью нагревательного элемента. Один из рекомендуемых способов крепления показан на рисунке А5.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Один из термоэлектрических преобразователей используют для регулирования температуры нагревателя (регулирующий термоэлектрический преобразователь), второй - для контроля температуры нагревателя (контролирующий термоэлектрический преобразователь).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7.4. Система зажигания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6" w:name="P148"/>
      <w:bookmarkEnd w:id="6"/>
      <w:r w:rsidRPr="00B80057">
        <w:t>7.4.1. Подвижная горелка должна перемещаться из исходного положения над радиационной панелью в рабочее положение внутри панели. Конструкция подвижной горелки и система ее перемещения приведены на рисунках А</w:t>
      </w:r>
      <w:proofErr w:type="gramStart"/>
      <w:r w:rsidRPr="00B80057">
        <w:t>6</w:t>
      </w:r>
      <w:proofErr w:type="gramEnd"/>
      <w:r w:rsidRPr="00B80057">
        <w:t xml:space="preserve"> - А8.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7.4.2. Вспомогательная горелка предназначается для зажигания подвижной горелки в случае ее затухания. Диаметр сопла вспомогательной горелки составляет от 1 до 2 мм.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7.4.3. В рабочем положении факел пламени подвижной горелки должен располагаться над центром отверстия в защитной плите в плоскости, перпендикулярной направлению перемещения горелки. При этом центр сопла горелки должен быть расположен на расстоянии 10 +/- 1 мм от плоскости подвижной плиты.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7.4.4. Подвижная горелка должна перемещаться из исходного положения в рабочее положение каждые </w:t>
      </w:r>
      <w:r w:rsidR="00A03C5B" w:rsidRPr="00B80057">
        <w:rPr>
          <w:position w:val="-5"/>
        </w:rPr>
        <w:pict>
          <v:shape id="_x0000_i1025" style="width:25.55pt;height:16.35pt" coordsize="" o:spt="100" adj="0,,0" path="" filled="f" stroked="f">
            <v:stroke joinstyle="miter"/>
            <v:imagedata r:id="rId6" o:title="base_44_6512_32768"/>
            <v:formulas/>
            <v:path o:connecttype="segments"/>
          </v:shape>
        </w:pict>
      </w:r>
      <w:r w:rsidRPr="00B80057">
        <w:t xml:space="preserve"> с. Время нахождения горелки в рабочем положении должно составлять 1 с.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7.5. Вспомогательное оборудование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7.5.1. Держатель образца представляет собой плоский металлический лист, на верхней поверхности которого имеются бортики для установки и фиксации образца (рисунок А</w:t>
      </w:r>
      <w:proofErr w:type="gramStart"/>
      <w:r w:rsidRPr="00B80057">
        <w:t>9</w:t>
      </w:r>
      <w:proofErr w:type="gramEnd"/>
      <w:r w:rsidRPr="00B80057">
        <w:t>). На нижней поверхности держателя имеются направляющие и стопор, фиксирующий положение держателя.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7.5.2. Экранирующая пластина (рисунок А10) предназначается для защиты поверхности образца от воздействия теплового потока. Экранирующую пластину изготавливают из листового алюминия или нержавеющей стали толщиной 2 мм.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7.5.3. Образец-имитатор изготавливают из негорючего </w:t>
      </w:r>
      <w:proofErr w:type="spellStart"/>
      <w:r w:rsidRPr="00B80057">
        <w:t>минераловолокнистого</w:t>
      </w:r>
      <w:proofErr w:type="spellEnd"/>
      <w:r w:rsidRPr="00B80057">
        <w:t xml:space="preserve"> материала плотностью 200 +/- 50 кг/м</w:t>
      </w:r>
      <w:r w:rsidRPr="00B80057">
        <w:rPr>
          <w:vertAlign w:val="superscript"/>
        </w:rPr>
        <w:t>3</w:t>
      </w:r>
      <w:r w:rsidRPr="00B80057">
        <w:t xml:space="preserve"> (рисунок А11). Держатель образца-имитатора изготавливают из негорючего материала плотностью 825 +/- 125 кг/м</w:t>
      </w:r>
      <w:r w:rsidRPr="00B80057">
        <w:rPr>
          <w:vertAlign w:val="superscript"/>
        </w:rPr>
        <w:t>3</w:t>
      </w:r>
      <w:r w:rsidRPr="00B80057">
        <w:t>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7.5.4. </w:t>
      </w:r>
      <w:proofErr w:type="gramStart"/>
      <w:r w:rsidRPr="00B80057">
        <w:t>Система регулирования расхода газовоздушной смеси (рисунок А12) подключается к источникам газообразного топлива (пропана или пропан-бутановой смеси) и воздуха, содержит игольчатые вентили, расходомеры с верхним пределом измерения не менее 1,2 л/ч (для газа) и не менее 12 л/ч (для воздуха) с погрешностью не более 4%. Рекомендуется также на линиях подачи топлива и воздуха размещать фильтры для защиты расходомеров от</w:t>
      </w:r>
      <w:proofErr w:type="gramEnd"/>
      <w:r w:rsidRPr="00B80057">
        <w:t xml:space="preserve"> примесей.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7.5.5. Прибор, регулирующий температуру нагревательного элемента радиационной панели, </w:t>
      </w:r>
      <w:r w:rsidRPr="00B80057">
        <w:lastRenderedPageBreak/>
        <w:t>должен быть рассчитан на мощность не менее 3 кВт и силу тока не менее 15 А. Для регистрации температуры рекомендуется использовать прибор с классом точности не менее 0,5.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7.5.6. Для измерения ППТП рекомендуется использовать прибор с диапазоном измерения от 1 до 75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>, погрешность измерения - не более 5%. Для регистрации показаний измерителя теплового потока применяют регистрирующий прибор с классом точности не менее 0,1.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7.5.7. В качестве регистратора времени рекомендуется использовать приборы с диапазоном измерения до 1 ч, погрешность измерения должна составлять не более 1 с.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7.5.8. Место размещения установки оборудуют защитными экранами и вытяжной вентиляцией (рисунок А13). В вытяжном зонте устанавливают отражатель воздушного потока, обеспечивающий в зазорах скорость воздуха от 2 до 3 м/с при расходе воздуха от 0,25 до 0,35 м</w:t>
      </w:r>
      <w:r w:rsidRPr="00B80057">
        <w:rPr>
          <w:vertAlign w:val="superscript"/>
        </w:rPr>
        <w:t>3</w:t>
      </w:r>
      <w:r w:rsidRPr="00B80057">
        <w:t>/</w:t>
      </w:r>
      <w:proofErr w:type="gramStart"/>
      <w:r w:rsidRPr="00B80057">
        <w:t>с</w:t>
      </w:r>
      <w:proofErr w:type="gramEnd"/>
      <w:r w:rsidRPr="00B80057">
        <w:t>.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  <w:outlineLvl w:val="1"/>
        <w:rPr>
          <w:b/>
        </w:rPr>
      </w:pPr>
      <w:r w:rsidRPr="00B80057">
        <w:rPr>
          <w:b/>
        </w:rPr>
        <w:t>8. Калибровка установки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ind w:firstLine="540"/>
        <w:jc w:val="both"/>
      </w:pPr>
      <w:r w:rsidRPr="00B80057">
        <w:t>8.1. Общие положения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8.1.1. Цель калибровки состоит в установлении требуемых настоящим стандартом по 4.2 величин ППТП, а также равномерности его распределения в пределах экспонируемой поверхности образца.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7" w:name="P166"/>
      <w:bookmarkEnd w:id="7"/>
      <w:r w:rsidRPr="00B80057">
        <w:t>8.1.2. Равномерность распределения теплового потока по экспонируемой поверхности образца обеспечивается при соблюдении следующих условий: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- отклонение ППТП в любых четырех диаметрально противоположных точках окружности диаметром 50 мм от величины ППТП в центре экспонируемой поверхности должно составлять не более +/- 3%;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- отклонение ППТП в любых четырех диаметрально противоположных точках окружности диаметром 100 мм от величины ППТП в центре экспонируемой поверхности должно составлять не более +/- 5%.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8.1.3. Установление требуемых стандартом величин ППТП проводят путем определения зависимости ППТП в центре экспонируемой поверхности от температуры нагревательного элемента.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8.1.4. Калибровку проводят на образцах (3 шт.), имеющих форму квадрата, со стороной 165 мм и отклонением минус 5 мм. Толщина калибровочного образца должна составлять не менее 20 мм. Для изготовления калибровочного образца используют асбестоцементные листы по ГОСТ 18124.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В калибровочных образцах вырезают отверстие для установки измерителя теплового потока: в первом образце - в центре, во втором образце - в любой точке окружности диаметром 50 мм, в третьем образце - в любой точке окружности диаметром 100 мм.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8.1.5. Калибровку проводят при метрологической аттестации установки или замене нагревательного элемента и/или термоэлектрических преобразователей.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8.2. Порядок проведения калибровки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8.2.1. При калибровке подвижная горелка должна находиться в исходном положении, вентили системы подачи топлива и воздуха перекрыты.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8.2.2. Устанавливают измеритель теплового потока в калибровочный образец с отверстием в </w:t>
      </w:r>
      <w:r w:rsidRPr="00B80057">
        <w:lastRenderedPageBreak/>
        <w:t>центре экспонируемой поверхности.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8" w:name="P176"/>
      <w:bookmarkEnd w:id="8"/>
      <w:r w:rsidRPr="00B80057">
        <w:t>8.2.3. Помещают калибровочный образец в держатель и устанавливают на подвижную платформу.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9" w:name="P177"/>
      <w:bookmarkEnd w:id="9"/>
      <w:r w:rsidRPr="00B80057">
        <w:t xml:space="preserve">8.2.4. Включают электропитание и путем изменения мощности, подаваемой на нагревательный элемент радиационной панели, подбирают по регулирующему термоэлектрическому преобразователю величину </w:t>
      </w:r>
      <w:proofErr w:type="spellStart"/>
      <w:r w:rsidRPr="00B80057">
        <w:t>термоЭДС</w:t>
      </w:r>
      <w:proofErr w:type="spellEnd"/>
      <w:r w:rsidRPr="00B80057">
        <w:t>, при которой в центре экспонируемой поверхности обеспечивается тепловой поток плотностью 50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>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10" w:name="P178"/>
      <w:bookmarkEnd w:id="10"/>
      <w:r w:rsidRPr="00B80057">
        <w:t xml:space="preserve">8.2.5. Выдерживают установку в режиме нагрева по 8.2.4 не менее 10 мин и фиксируют величину </w:t>
      </w:r>
      <w:proofErr w:type="spellStart"/>
      <w:r w:rsidRPr="00B80057">
        <w:t>термоЭДС</w:t>
      </w:r>
      <w:proofErr w:type="spellEnd"/>
      <w:r w:rsidRPr="00B80057">
        <w:t xml:space="preserve"> контролирующего термоэлектрического преобразователя.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11" w:name="P179"/>
      <w:bookmarkEnd w:id="11"/>
      <w:r w:rsidRPr="00B80057">
        <w:t xml:space="preserve">8.2.6. Повторяют операции по 8.2.4, 8.2.5 с целью определения величин </w:t>
      </w:r>
      <w:proofErr w:type="spellStart"/>
      <w:r w:rsidRPr="00B80057">
        <w:t>термоЭДС</w:t>
      </w:r>
      <w:proofErr w:type="spellEnd"/>
      <w:r w:rsidRPr="00B80057">
        <w:t>, обеспечивающих в центре экспонируемой поверхности тепловые потоки плотностью 45, 40, 35, 30, 25, 20, 10, 5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>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12" w:name="P180"/>
      <w:bookmarkEnd w:id="12"/>
      <w:r w:rsidRPr="00B80057">
        <w:t>8.2.7. После выполнения операций по 8.2.6 устанавливают измеритель теплового потока в калибровочный образец с отверстием на окружности диаметром 50 мм и повторяют операции по 8.2.3 - 8.2.5 для тепловых потоков плотностью 50, 40, 30, 20, 10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>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Указанные измерения повторяют для каждой из четырех диаметрально противоположных точек окружности, меняя положение образца в держателе.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8.2.8. Повторяют процедуру калибровки по 8.2.7 на калибровочном образце с отверстием на окружности диаметром 100 мм.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8.2.9. При несоответствии результатов измерений ППТП требованиям 8.1.2 следует заменить нагревательный элемент радиационной панели.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8.2.10. Контроль калибровки установки проводят через каждые 60 ч работы радиационной панели по величине ППТП, равной 30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 xml:space="preserve"> в центре экспонируемой поверхности.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Калибровку установки повторяют в том случае, если отклонение измеренной величины ППТП составляет более 0,06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>.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  <w:outlineLvl w:val="1"/>
        <w:rPr>
          <w:b/>
        </w:rPr>
      </w:pPr>
      <w:r w:rsidRPr="00B80057">
        <w:rPr>
          <w:b/>
        </w:rPr>
        <w:t>9. Проведение испытания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ind w:firstLine="540"/>
        <w:jc w:val="both"/>
      </w:pPr>
      <w:r w:rsidRPr="00B80057">
        <w:t>9.1. Образец для испытания, кондиционированный в соответствии с 6.7, оборачивают листом алюминиевой фольги (номинальная толщина 0,2 мм), в центре которого вырезано отверстие диаметром 140 мм. При этом центр отверстия в фольге должен совпадать с центром экспонируемой поверхности образца (рисунок А14).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9.2. Образец для испытания помещают в держатель, устанавливают его на подвижную платформу и производят регулировку противовеса. После этого держатель с образцом для испытания заменяют держателем с образцом-имитатором.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9.3. Устанавливают подвижную горелку в исходное положение по 7.4.1, регулируют расход газа (19 - 20 мл/мин) и воздуха (160 - 180 мл/мин), подаваемых в подвижную горелку. Для вспомогательной горелки длина факела пламени составляет примерно 15 мм.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9.4. Включают электропитание и по регулирующему термоэлектрическому преобразователю задают установленную при калибровке величину </w:t>
      </w:r>
      <w:proofErr w:type="spellStart"/>
      <w:r w:rsidRPr="00B80057">
        <w:t>термоЭДС</w:t>
      </w:r>
      <w:proofErr w:type="spellEnd"/>
      <w:r w:rsidRPr="00B80057">
        <w:t>, соответствующую ППТП 30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>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13" w:name="P193"/>
      <w:bookmarkEnd w:id="13"/>
      <w:r w:rsidRPr="00B80057">
        <w:t xml:space="preserve">9.5. После достижения заданной величины </w:t>
      </w:r>
      <w:proofErr w:type="spellStart"/>
      <w:r w:rsidRPr="00B80057">
        <w:t>термоЭДС</w:t>
      </w:r>
      <w:proofErr w:type="spellEnd"/>
      <w:r w:rsidRPr="00B80057">
        <w:t xml:space="preserve"> установку выдерживают в этом режиме не менее 5 мин. При этом величина </w:t>
      </w:r>
      <w:proofErr w:type="spellStart"/>
      <w:r w:rsidRPr="00B80057">
        <w:t>термоЭДС</w:t>
      </w:r>
      <w:proofErr w:type="spellEnd"/>
      <w:r w:rsidRPr="00B80057">
        <w:t xml:space="preserve">, зафиксированная по контролирующему </w:t>
      </w:r>
      <w:r w:rsidRPr="00B80057">
        <w:lastRenderedPageBreak/>
        <w:t xml:space="preserve">термоэлектрическому преобразователю, должна отличаться </w:t>
      </w:r>
      <w:proofErr w:type="gramStart"/>
      <w:r w:rsidRPr="00B80057">
        <w:t>от</w:t>
      </w:r>
      <w:proofErr w:type="gramEnd"/>
      <w:r w:rsidRPr="00B80057">
        <w:t xml:space="preserve"> полученной при калибровке не более чем на 1%.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9.6. Помещают экранирующую пластину на защитную плиту, </w:t>
      </w:r>
      <w:proofErr w:type="gramStart"/>
      <w:r w:rsidRPr="00B80057">
        <w:t>заменяют образец-имитатор на образец</w:t>
      </w:r>
      <w:proofErr w:type="gramEnd"/>
      <w:r w:rsidRPr="00B80057">
        <w:t xml:space="preserve"> для испытания, включают механизм подвижной горелки, удаляют экранирующую пластину и включают регистратор времени.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Время проведения этих операций должно составлять не более 15 с.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14" w:name="P196"/>
      <w:bookmarkEnd w:id="14"/>
      <w:r w:rsidRPr="00B80057">
        <w:t>9.7. По истечении 15 мин или при воспламенении образца испытание прекращают. Для этого помещают экранирующую пластину на защитную плиту, останавливают регистратор времени и механизм подвижной горелки, удаляют держатель с образцом и помещают на подвижную платформу образец-имитатор, убирают экранирующую пластину.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9.8. Устанавливают величину ППТП 20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>, если в предыдущем испытании зафиксировано воспламенение, или 40 кВт/м</w:t>
      </w:r>
      <w:r w:rsidRPr="00B80057">
        <w:rPr>
          <w:vertAlign w:val="superscript"/>
        </w:rPr>
        <w:t>2</w:t>
      </w:r>
      <w:r w:rsidRPr="00B80057">
        <w:t xml:space="preserve"> при его отсутствии. Повторяют операции по 9.5 - 9.7.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9.9. Если при ППТП 20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 xml:space="preserve"> зафиксировано воспламенение, уменьшают величину ППТП до 10 кВт/м</w:t>
      </w:r>
      <w:r w:rsidRPr="00B80057">
        <w:rPr>
          <w:vertAlign w:val="superscript"/>
        </w:rPr>
        <w:t>2</w:t>
      </w:r>
      <w:r w:rsidRPr="00B80057">
        <w:t xml:space="preserve"> и повторяют операции по 9.5 - 9.7.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9.10. Если при ППТП 40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 xml:space="preserve"> воспламенение отсутствует, устанавливают величину ППТП 50 кВт/м</w:t>
      </w:r>
      <w:r w:rsidRPr="00B80057">
        <w:rPr>
          <w:vertAlign w:val="superscript"/>
        </w:rPr>
        <w:t>2</w:t>
      </w:r>
      <w:r w:rsidRPr="00B80057">
        <w:t xml:space="preserve"> и повторяют операции по 9.5 - 9.7.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bookmarkStart w:id="15" w:name="P200"/>
      <w:bookmarkEnd w:id="15"/>
      <w:r w:rsidRPr="00B80057">
        <w:t>9.11. После определения двух величин ППТП, при одной из которых наблюдается воспламенение, а при другой - отсутствует, задают величину ППТП на 5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 xml:space="preserve"> больше той величины, при которой воспламенение отсутствует, и повторяют операции по 9.5 - 9.7 на трех образцах.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Если при ППТП 10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 xml:space="preserve"> зафиксировано воспламенение, то следующее испытание проводят при ППТП 5 кВт/м</w:t>
      </w:r>
      <w:r w:rsidRPr="00B80057">
        <w:rPr>
          <w:vertAlign w:val="superscript"/>
        </w:rPr>
        <w:t>2</w:t>
      </w:r>
      <w:r w:rsidRPr="00B80057">
        <w:t>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9.12. В зависимости от результатов испытаний по 9.11 величину ППТП увеличивают на 5 кВт/м</w:t>
      </w:r>
      <w:proofErr w:type="gramStart"/>
      <w:r w:rsidRPr="00B80057">
        <w:rPr>
          <w:vertAlign w:val="superscript"/>
        </w:rPr>
        <w:t>2</w:t>
      </w:r>
      <w:proofErr w:type="gramEnd"/>
      <w:r w:rsidRPr="00B80057">
        <w:t xml:space="preserve"> (при отсутствии воспламенения) или уменьшают на 5 кВт/м</w:t>
      </w:r>
      <w:r w:rsidRPr="00B80057">
        <w:rPr>
          <w:vertAlign w:val="superscript"/>
        </w:rPr>
        <w:t>3</w:t>
      </w:r>
      <w:r w:rsidRPr="00B80057">
        <w:t xml:space="preserve"> (при наличии воспламенения) и повторяют операции по 9.5 - 9.7 на двух образцах.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9.13. Для каждого испытанного образца фиксируют время воспламенения и следующие дополнительные наблюдения: время и место воспламенения; процесс разрушения образца под действием теплового излучения и пламени; плавление, вспучивание, расслоение, растрескивание, набухание либо усадка.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9.14. Для материалов с высокой сжимаемостью (</w:t>
      </w:r>
      <w:proofErr w:type="spellStart"/>
      <w:r w:rsidRPr="00B80057">
        <w:t>минераловатные</w:t>
      </w:r>
      <w:proofErr w:type="spellEnd"/>
      <w:r w:rsidRPr="00B80057">
        <w:t xml:space="preserve"> плиты), а также материалов, плавящихся или размягчающихся в процессе нагревания, испытание следует проводить с учетом 7.2.7.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 xml:space="preserve">9.15. </w:t>
      </w:r>
      <w:proofErr w:type="gramStart"/>
      <w:r w:rsidRPr="00B80057">
        <w:t>Для материалов, приобретающих при нагревании способность к прилипанию либо образующих поверхностный обугленный слой с низкой механической прочностью, либо содержащих под экспонируемой поверхностью воздушный зазор, с целью предотвращения помех перемещению подвижной горелки либо повреждения горелкой экспонируемой поверхности образца испытания следует проводить с использованием в приводном механизме стопора, устраняющего возможность контакта подвижной горелки с поверхностью образца.</w:t>
      </w:r>
      <w:proofErr w:type="gramEnd"/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9.16. Для материалов, образующих значительное количество дыма или продуктов разложения, гасящих пламя подвижной горелки и исключающих возможность повторного ее зажигания с помощью вспомогательной горелки, результат фиксируют в протоколе испытания с указанием отсутствия воспламенения вследствие систематического гашения пламени подвижной горелки продуктами разложения.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  <w:outlineLvl w:val="1"/>
        <w:rPr>
          <w:b/>
        </w:rPr>
      </w:pPr>
      <w:r w:rsidRPr="00B80057">
        <w:rPr>
          <w:b/>
        </w:rPr>
        <w:t>10. Протокол испытания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ind w:firstLine="540"/>
        <w:jc w:val="both"/>
      </w:pPr>
      <w:r w:rsidRPr="00B80057">
        <w:t>В протоколе испытания приводят следующие данные: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- наименование испытательной лаборатории;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- наименование заказчика;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- наименование изготовителя (поставщика);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- описание материала или изделия, техническую документацию, а также торговую марку, состав, толщину, плотность, массу и способ изготовления образцов, характеристику экспонируемой поверхности, для слоистых материалов - толщину каждого слоя и характеристику материала каждого слоя;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- параметры воспламеняемости: ППТП, время воспламенения при ППТП для каждого из образцов;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- вывод о группе воспламеняемости материала с указанием величины КППТП;</w:t>
      </w:r>
    </w:p>
    <w:p w:rsidR="00E870B3" w:rsidRPr="00B80057" w:rsidRDefault="00E870B3">
      <w:pPr>
        <w:pStyle w:val="ConsPlusNormal"/>
        <w:spacing w:before="220"/>
        <w:ind w:firstLine="540"/>
        <w:jc w:val="both"/>
      </w:pPr>
      <w:r w:rsidRPr="00B80057">
        <w:t>- дополнительные наблюдения при испытании образца: время и место воспламенения; процесс разрушения образца под действием теплового излучения и пламени; плавление, вспучивание, расслоение, растрескивание, набухание либо усадка.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  <w:outlineLvl w:val="1"/>
        <w:rPr>
          <w:b/>
        </w:rPr>
      </w:pPr>
      <w:r w:rsidRPr="00B80057">
        <w:rPr>
          <w:b/>
        </w:rPr>
        <w:t>11. Требования безопасности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ind w:firstLine="540"/>
        <w:jc w:val="both"/>
      </w:pPr>
      <w:r w:rsidRPr="00B80057">
        <w:t>Помещение, в котором проводят испытания, должно быть оборудовано приточно-вытяжной вентиляцией. Рабочее место оператора должно удовлетворять требованиям электробезопасности по ГОСТ 12.1.019 и санитарно-гигиеническим требованиям по ГОСТ 12.1.005.</w:t>
      </w:r>
    </w:p>
    <w:p w:rsidR="00B80057" w:rsidRPr="00B80057" w:rsidRDefault="00B80057">
      <w:pPr>
        <w:rPr>
          <w:rFonts w:ascii="Calibri" w:eastAsia="Times New Roman" w:hAnsi="Calibri" w:cs="Calibri"/>
          <w:szCs w:val="20"/>
          <w:lang w:eastAsia="ru-RU"/>
        </w:rPr>
      </w:pPr>
      <w:r w:rsidRPr="00B80057">
        <w:br w:type="page"/>
      </w:r>
    </w:p>
    <w:p w:rsidR="00E870B3" w:rsidRPr="00B80057" w:rsidRDefault="00E870B3">
      <w:pPr>
        <w:pStyle w:val="ConsPlusNormal"/>
        <w:jc w:val="right"/>
        <w:outlineLvl w:val="0"/>
      </w:pPr>
      <w:r w:rsidRPr="00B80057">
        <w:lastRenderedPageBreak/>
        <w:t>Приложение</w:t>
      </w:r>
      <w:proofErr w:type="gramStart"/>
      <w:r w:rsidRPr="00B80057">
        <w:t xml:space="preserve"> А</w:t>
      </w:r>
      <w:proofErr w:type="gramEnd"/>
    </w:p>
    <w:p w:rsidR="00E870B3" w:rsidRPr="00B80057" w:rsidRDefault="00E870B3">
      <w:pPr>
        <w:pStyle w:val="ConsPlusNormal"/>
        <w:jc w:val="right"/>
      </w:pPr>
      <w:r w:rsidRPr="00B80057">
        <w:t>(справочное)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right"/>
      </w:pPr>
      <w:r w:rsidRPr="00B80057">
        <w:t>Размеры в миллиметрах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B80057">
      <w:pPr>
        <w:pStyle w:val="ConsPlusNormal"/>
        <w:jc w:val="center"/>
      </w:pPr>
      <w:r w:rsidRPr="00B80057">
        <w:rPr>
          <w:position w:val="-298"/>
        </w:rPr>
        <w:pict>
          <v:shape id="_x0000_i1026" style="width:361.3pt;height:309.6pt" coordsize="" o:spt="100" adj="0,,0" path="" filled="f" stroked="f">
            <v:stroke joinstyle="miter"/>
            <v:imagedata r:id="rId7" o:title="base_44_6512_32769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E870B3">
      <w:pPr>
        <w:pStyle w:val="ConsPlusNormal"/>
        <w:jc w:val="center"/>
      </w:pPr>
      <w:r w:rsidRPr="00B80057">
        <w:t>1 - радиационная панель с нагревательным элементом;</w:t>
      </w:r>
    </w:p>
    <w:p w:rsidR="00E870B3" w:rsidRPr="00B80057" w:rsidRDefault="00E870B3">
      <w:pPr>
        <w:pStyle w:val="ConsPlusNormal"/>
        <w:jc w:val="center"/>
      </w:pPr>
      <w:r w:rsidRPr="00B80057">
        <w:t>2 - подвижная горелка;</w:t>
      </w:r>
    </w:p>
    <w:p w:rsidR="00E870B3" w:rsidRPr="00B80057" w:rsidRDefault="00E870B3">
      <w:pPr>
        <w:pStyle w:val="ConsPlusNormal"/>
        <w:jc w:val="center"/>
      </w:pPr>
      <w:r w:rsidRPr="00B80057">
        <w:t>3 - вспомогательная стационарная горелка;</w:t>
      </w:r>
    </w:p>
    <w:p w:rsidR="00E870B3" w:rsidRPr="00B80057" w:rsidRDefault="00E870B3">
      <w:pPr>
        <w:pStyle w:val="ConsPlusNormal"/>
        <w:jc w:val="center"/>
      </w:pPr>
      <w:r w:rsidRPr="00B80057">
        <w:t>4 - силовой кабель нагревательного элемента;</w:t>
      </w:r>
    </w:p>
    <w:p w:rsidR="00E870B3" w:rsidRPr="00B80057" w:rsidRDefault="00E870B3">
      <w:pPr>
        <w:pStyle w:val="ConsPlusNormal"/>
        <w:jc w:val="center"/>
      </w:pPr>
      <w:r w:rsidRPr="00B80057">
        <w:t>5 - кулачок с ограничителем хода</w:t>
      </w:r>
    </w:p>
    <w:p w:rsidR="00E870B3" w:rsidRPr="00B80057" w:rsidRDefault="00E870B3">
      <w:pPr>
        <w:pStyle w:val="ConsPlusNormal"/>
        <w:jc w:val="center"/>
      </w:pPr>
      <w:r w:rsidRPr="00B80057">
        <w:t>для ручного управления подвижной горелкой;</w:t>
      </w:r>
    </w:p>
    <w:p w:rsidR="00E870B3" w:rsidRPr="00B80057" w:rsidRDefault="00E870B3">
      <w:pPr>
        <w:pStyle w:val="ConsPlusNormal"/>
        <w:jc w:val="center"/>
      </w:pPr>
      <w:r w:rsidRPr="00B80057">
        <w:t>6 - кулачок для автоматического управления</w:t>
      </w:r>
    </w:p>
    <w:p w:rsidR="00E870B3" w:rsidRPr="00B80057" w:rsidRDefault="00E870B3">
      <w:pPr>
        <w:pStyle w:val="ConsPlusNormal"/>
        <w:jc w:val="center"/>
      </w:pPr>
      <w:r w:rsidRPr="00B80057">
        <w:t>подвижной горелкой; 7 - приводной ремень;</w:t>
      </w:r>
    </w:p>
    <w:p w:rsidR="00E870B3" w:rsidRPr="00B80057" w:rsidRDefault="00E870B3">
      <w:pPr>
        <w:pStyle w:val="ConsPlusNormal"/>
        <w:jc w:val="center"/>
      </w:pPr>
      <w:r w:rsidRPr="00B80057">
        <w:t>8 - втулка для подсоединения подвижной горелки</w:t>
      </w:r>
    </w:p>
    <w:p w:rsidR="00E870B3" w:rsidRPr="00B80057" w:rsidRDefault="00E870B3">
      <w:pPr>
        <w:pStyle w:val="ConsPlusNormal"/>
        <w:jc w:val="center"/>
      </w:pPr>
      <w:r w:rsidRPr="00B80057">
        <w:t>к системе подачи топлива;</w:t>
      </w:r>
    </w:p>
    <w:p w:rsidR="00E870B3" w:rsidRPr="00B80057" w:rsidRDefault="00E870B3">
      <w:pPr>
        <w:pStyle w:val="ConsPlusNormal"/>
        <w:jc w:val="center"/>
      </w:pPr>
      <w:r w:rsidRPr="00B80057">
        <w:t>9 - монтажная плита для системы зажигания</w:t>
      </w:r>
    </w:p>
    <w:p w:rsidR="00E870B3" w:rsidRPr="00B80057" w:rsidRDefault="00E870B3">
      <w:pPr>
        <w:pStyle w:val="ConsPlusNormal"/>
        <w:jc w:val="center"/>
      </w:pPr>
      <w:r w:rsidRPr="00B80057">
        <w:t>и системы перемещения подвижной горелки;</w:t>
      </w:r>
    </w:p>
    <w:p w:rsidR="00E870B3" w:rsidRPr="00B80057" w:rsidRDefault="00E870B3">
      <w:pPr>
        <w:pStyle w:val="ConsPlusNormal"/>
        <w:jc w:val="center"/>
      </w:pPr>
      <w:r w:rsidRPr="00B80057">
        <w:t>10 - защитная плита; 11 - вертикальная опора;</w:t>
      </w:r>
    </w:p>
    <w:p w:rsidR="00E870B3" w:rsidRPr="00B80057" w:rsidRDefault="00E870B3">
      <w:pPr>
        <w:pStyle w:val="ConsPlusNormal"/>
        <w:jc w:val="center"/>
      </w:pPr>
      <w:r w:rsidRPr="00B80057">
        <w:t>12 - вертикальная направляющая;</w:t>
      </w:r>
    </w:p>
    <w:p w:rsidR="00E870B3" w:rsidRPr="00B80057" w:rsidRDefault="00E870B3">
      <w:pPr>
        <w:pStyle w:val="ConsPlusNormal"/>
        <w:jc w:val="center"/>
      </w:pPr>
      <w:r w:rsidRPr="00B80057">
        <w:t>13 - подвижная платформа для образца;</w:t>
      </w:r>
    </w:p>
    <w:p w:rsidR="00E870B3" w:rsidRPr="00B80057" w:rsidRDefault="00E870B3">
      <w:pPr>
        <w:pStyle w:val="ConsPlusNormal"/>
        <w:jc w:val="center"/>
      </w:pPr>
      <w:r w:rsidRPr="00B80057">
        <w:t>14 - основание опорной станины;</w:t>
      </w:r>
    </w:p>
    <w:p w:rsidR="00E870B3" w:rsidRPr="00B80057" w:rsidRDefault="00E870B3">
      <w:pPr>
        <w:pStyle w:val="ConsPlusNormal"/>
        <w:jc w:val="center"/>
      </w:pPr>
      <w:r w:rsidRPr="00B80057">
        <w:t>15 - ручное управление;</w:t>
      </w:r>
    </w:p>
    <w:p w:rsidR="00E870B3" w:rsidRPr="00B80057" w:rsidRDefault="00E870B3">
      <w:pPr>
        <w:pStyle w:val="ConsPlusNormal"/>
        <w:jc w:val="center"/>
      </w:pPr>
      <w:r w:rsidRPr="00B80057">
        <w:t>16 - рычаг с противовесом;</w:t>
      </w:r>
    </w:p>
    <w:p w:rsidR="00E870B3" w:rsidRPr="00B80057" w:rsidRDefault="00E870B3">
      <w:pPr>
        <w:pStyle w:val="ConsPlusNormal"/>
        <w:jc w:val="center"/>
      </w:pPr>
      <w:r w:rsidRPr="00B80057">
        <w:t>17 - привод к электродвигателю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bookmarkStart w:id="16" w:name="P254"/>
      <w:bookmarkEnd w:id="16"/>
      <w:r w:rsidRPr="00B80057">
        <w:t>Рисунок А</w:t>
      </w:r>
      <w:proofErr w:type="gramStart"/>
      <w:r w:rsidRPr="00B80057">
        <w:t>1</w:t>
      </w:r>
      <w:proofErr w:type="gramEnd"/>
      <w:r w:rsidRPr="00B80057">
        <w:t>. Общий вид установки для испытаний</w:t>
      </w:r>
    </w:p>
    <w:p w:rsidR="00E870B3" w:rsidRPr="00B80057" w:rsidRDefault="00E870B3">
      <w:pPr>
        <w:pStyle w:val="ConsPlusNormal"/>
        <w:jc w:val="center"/>
      </w:pPr>
      <w:r w:rsidRPr="00B80057">
        <w:t>на воспламеняемость</w:t>
      </w:r>
    </w:p>
    <w:p w:rsidR="00B80057" w:rsidRPr="00B80057" w:rsidRDefault="00B80057">
      <w:pPr>
        <w:rPr>
          <w:rFonts w:ascii="Calibri" w:eastAsia="Times New Roman" w:hAnsi="Calibri" w:cs="Calibri"/>
          <w:szCs w:val="20"/>
          <w:lang w:eastAsia="ru-RU"/>
        </w:rPr>
      </w:pPr>
      <w:r w:rsidRPr="00B80057">
        <w:br w:type="page"/>
      </w:r>
    </w:p>
    <w:p w:rsidR="00E870B3" w:rsidRPr="00B80057" w:rsidRDefault="00E870B3">
      <w:pPr>
        <w:pStyle w:val="ConsPlusNormal"/>
        <w:jc w:val="right"/>
      </w:pPr>
      <w:r w:rsidRPr="00B80057">
        <w:lastRenderedPageBreak/>
        <w:t>Размеры в миллиметрах</w:t>
      </w:r>
    </w:p>
    <w:p w:rsidR="00E870B3" w:rsidRPr="00B80057" w:rsidRDefault="00B80057">
      <w:pPr>
        <w:pStyle w:val="ConsPlusNormal"/>
        <w:jc w:val="center"/>
      </w:pPr>
      <w:r w:rsidRPr="00B80057">
        <w:rPr>
          <w:position w:val="-292"/>
        </w:rPr>
        <w:pict>
          <v:shape id="_x0000_i1027" style="width:358.05pt;height:303.7pt" coordsize="" o:spt="100" adj="0,,0" path="" filled="f" stroked="f">
            <v:stroke joinstyle="miter"/>
            <v:imagedata r:id="rId8" o:title="base_44_6512_32770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bookmarkStart w:id="17" w:name="P261"/>
      <w:bookmarkEnd w:id="17"/>
      <w:r w:rsidRPr="00B80057">
        <w:t>Рисунок А</w:t>
      </w:r>
      <w:proofErr w:type="gramStart"/>
      <w:r w:rsidRPr="00B80057">
        <w:t>2</w:t>
      </w:r>
      <w:proofErr w:type="gramEnd"/>
      <w:r w:rsidRPr="00B80057">
        <w:t xml:space="preserve">. Опорная станина (разрез по </w:t>
      </w:r>
      <w:proofErr w:type="gramStart"/>
      <w:r w:rsidRPr="00B80057">
        <w:t>ВВ</w:t>
      </w:r>
      <w:proofErr w:type="gramEnd"/>
      <w:r w:rsidRPr="00B80057">
        <w:t>)</w:t>
      </w:r>
    </w:p>
    <w:p w:rsidR="00B80057" w:rsidRPr="00B80057" w:rsidRDefault="00B80057">
      <w:pPr>
        <w:rPr>
          <w:rFonts w:ascii="Calibri" w:eastAsia="Times New Roman" w:hAnsi="Calibri" w:cs="Calibri"/>
          <w:szCs w:val="20"/>
          <w:lang w:eastAsia="ru-RU"/>
        </w:rPr>
      </w:pPr>
      <w:r w:rsidRPr="00B80057">
        <w:br w:type="page"/>
      </w:r>
    </w:p>
    <w:p w:rsidR="00E870B3" w:rsidRPr="00B80057" w:rsidRDefault="00E870B3">
      <w:pPr>
        <w:pStyle w:val="ConsPlusNormal"/>
        <w:jc w:val="right"/>
      </w:pPr>
      <w:r w:rsidRPr="00B80057">
        <w:lastRenderedPageBreak/>
        <w:t>Размеры в миллиметрах</w:t>
      </w:r>
    </w:p>
    <w:p w:rsidR="00E870B3" w:rsidRPr="00B80057" w:rsidRDefault="00B80057">
      <w:pPr>
        <w:pStyle w:val="ConsPlusNormal"/>
        <w:jc w:val="center"/>
      </w:pPr>
      <w:r w:rsidRPr="00B80057">
        <w:rPr>
          <w:position w:val="-463"/>
        </w:rPr>
        <w:pict>
          <v:shape id="_x0000_i1028" style="width:266.4pt;height:474.55pt" coordsize="" o:spt="100" adj="0,,0" path="" filled="f" stroked="f">
            <v:stroke joinstyle="miter"/>
            <v:imagedata r:id="rId9" o:title="base_44_6512_32771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bookmarkStart w:id="18" w:name="P267"/>
      <w:bookmarkEnd w:id="18"/>
      <w:r w:rsidRPr="00B80057">
        <w:t>Рисунок А3. Опорная станина (разрез по АА)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B80057">
      <w:pPr>
        <w:pStyle w:val="ConsPlusNormal"/>
        <w:jc w:val="center"/>
      </w:pPr>
      <w:r w:rsidRPr="00B80057">
        <w:rPr>
          <w:position w:val="-337"/>
        </w:rPr>
        <w:lastRenderedPageBreak/>
        <w:pict>
          <v:shape id="_x0000_i1029" style="width:346.25pt;height:348.2pt" coordsize="" o:spt="100" adj="0,,0" path="" filled="f" stroked="f">
            <v:stroke joinstyle="miter"/>
            <v:imagedata r:id="rId10" o:title="base_44_6512_32772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E870B3">
      <w:pPr>
        <w:pStyle w:val="ConsPlusNormal"/>
        <w:jc w:val="center"/>
      </w:pPr>
      <w:r w:rsidRPr="00B80057">
        <w:t>1 - радиационная панель; 2 - защитная плита;</w:t>
      </w:r>
    </w:p>
    <w:p w:rsidR="00E870B3" w:rsidRPr="00B80057" w:rsidRDefault="00E870B3">
      <w:pPr>
        <w:pStyle w:val="ConsPlusNormal"/>
        <w:jc w:val="center"/>
      </w:pPr>
      <w:r w:rsidRPr="00B80057">
        <w:t>3 - подвижная платформа; 4 - противовес; 5 - рычаг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bookmarkStart w:id="19" w:name="P274"/>
      <w:bookmarkEnd w:id="19"/>
      <w:r w:rsidRPr="00B80057">
        <w:t>Рисунок А</w:t>
      </w:r>
      <w:proofErr w:type="gramStart"/>
      <w:r w:rsidRPr="00B80057">
        <w:t>4</w:t>
      </w:r>
      <w:proofErr w:type="gramEnd"/>
      <w:r w:rsidRPr="00B80057">
        <w:t>. Опорная станина и радиационная панель</w:t>
      </w:r>
    </w:p>
    <w:p w:rsidR="00B80057" w:rsidRPr="00B80057" w:rsidRDefault="00B80057">
      <w:pPr>
        <w:rPr>
          <w:rFonts w:ascii="Calibri" w:eastAsia="Times New Roman" w:hAnsi="Calibri" w:cs="Calibri"/>
          <w:szCs w:val="20"/>
          <w:lang w:eastAsia="ru-RU"/>
        </w:rPr>
      </w:pPr>
      <w:r w:rsidRPr="00B80057">
        <w:br w:type="page"/>
      </w:r>
    </w:p>
    <w:p w:rsidR="00E870B3" w:rsidRPr="00B80057" w:rsidRDefault="00E870B3">
      <w:pPr>
        <w:pStyle w:val="ConsPlusNormal"/>
        <w:jc w:val="right"/>
      </w:pPr>
      <w:r w:rsidRPr="00B80057">
        <w:lastRenderedPageBreak/>
        <w:t>Размеры в миллиметрах</w:t>
      </w:r>
    </w:p>
    <w:p w:rsidR="00E870B3" w:rsidRPr="00B80057" w:rsidRDefault="00B80057">
      <w:pPr>
        <w:pStyle w:val="ConsPlusNormal"/>
        <w:jc w:val="center"/>
      </w:pPr>
      <w:r w:rsidRPr="00B80057">
        <w:rPr>
          <w:position w:val="-416"/>
        </w:rPr>
        <w:pict>
          <v:shape id="_x0000_i1030" style="width:291.25pt;height:427.4pt" coordsize="" o:spt="100" adj="0,,0" path="" filled="f" stroked="f">
            <v:stroke joinstyle="miter"/>
            <v:imagedata r:id="rId11" o:title="base_44_6512_32773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r w:rsidRPr="00B80057">
        <w:t>1 - кожух с теплоизолирующим слоем;</w:t>
      </w:r>
    </w:p>
    <w:p w:rsidR="00E870B3" w:rsidRPr="00B80057" w:rsidRDefault="00E870B3">
      <w:pPr>
        <w:pStyle w:val="ConsPlusNormal"/>
        <w:jc w:val="center"/>
      </w:pPr>
      <w:r w:rsidRPr="00B80057">
        <w:t>2 - теплоизолирующий слой из минерального волокна;</w:t>
      </w:r>
    </w:p>
    <w:p w:rsidR="00E870B3" w:rsidRPr="00B80057" w:rsidRDefault="00E870B3">
      <w:pPr>
        <w:pStyle w:val="ConsPlusNormal"/>
        <w:jc w:val="center"/>
      </w:pPr>
      <w:r w:rsidRPr="00B80057">
        <w:t>3 - нагревательный элемент;</w:t>
      </w:r>
    </w:p>
    <w:p w:rsidR="00E870B3" w:rsidRPr="00B80057" w:rsidRDefault="00E870B3">
      <w:pPr>
        <w:pStyle w:val="ConsPlusNormal"/>
        <w:jc w:val="center"/>
      </w:pPr>
      <w:r w:rsidRPr="00B80057">
        <w:t>4 - хомут; 5 - термоэлектрический преобразователь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bookmarkStart w:id="20" w:name="P285"/>
      <w:bookmarkEnd w:id="20"/>
      <w:r w:rsidRPr="00B80057">
        <w:t>Рисунок А5. Радиационная панель</w:t>
      </w:r>
    </w:p>
    <w:p w:rsidR="00B80057" w:rsidRPr="00B80057" w:rsidRDefault="00B80057">
      <w:pPr>
        <w:rPr>
          <w:rFonts w:ascii="Calibri" w:eastAsia="Times New Roman" w:hAnsi="Calibri" w:cs="Calibri"/>
          <w:szCs w:val="20"/>
          <w:lang w:eastAsia="ru-RU"/>
        </w:rPr>
      </w:pPr>
      <w:r w:rsidRPr="00B80057">
        <w:br w:type="page"/>
      </w:r>
    </w:p>
    <w:p w:rsidR="00E870B3" w:rsidRPr="00B80057" w:rsidRDefault="00E870B3">
      <w:pPr>
        <w:pStyle w:val="ConsPlusNormal"/>
        <w:jc w:val="right"/>
      </w:pPr>
      <w:r w:rsidRPr="00B80057">
        <w:lastRenderedPageBreak/>
        <w:t>Размеры в миллиметрах</w:t>
      </w:r>
    </w:p>
    <w:p w:rsidR="00E870B3" w:rsidRPr="00B80057" w:rsidRDefault="00B80057">
      <w:pPr>
        <w:pStyle w:val="ConsPlusNormal"/>
        <w:jc w:val="center"/>
      </w:pPr>
      <w:r w:rsidRPr="00B80057">
        <w:rPr>
          <w:position w:val="-238"/>
        </w:rPr>
        <w:pict>
          <v:shape id="_x0000_i1031" style="width:331.85pt;height:249.4pt" coordsize="" o:spt="100" adj="0,,0" path="" filled="f" stroked="f">
            <v:stroke joinstyle="miter"/>
            <v:imagedata r:id="rId12" o:title="base_44_6512_32774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E870B3">
      <w:pPr>
        <w:pStyle w:val="ConsPlusNormal"/>
        <w:jc w:val="center"/>
      </w:pPr>
      <w:r w:rsidRPr="00B80057">
        <w:t>Деталь 5</w: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B80057">
      <w:pPr>
        <w:pStyle w:val="ConsPlusNormal"/>
        <w:jc w:val="center"/>
      </w:pPr>
      <w:r w:rsidRPr="00B80057">
        <w:rPr>
          <w:position w:val="-111"/>
        </w:rPr>
        <w:pict>
          <v:shape id="_x0000_i1032" style="width:152.5pt;height:121.75pt" coordsize="" o:spt="100" adj="0,,0" path="" filled="f" stroked="f">
            <v:stroke joinstyle="miter"/>
            <v:imagedata r:id="rId13" o:title="base_44_6512_32775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E870B3">
      <w:pPr>
        <w:pStyle w:val="ConsPlusNormal"/>
        <w:jc w:val="center"/>
      </w:pPr>
      <w:r w:rsidRPr="00B80057">
        <w:t>Деталь 6</w: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B80057">
      <w:pPr>
        <w:pStyle w:val="ConsPlusNormal"/>
        <w:jc w:val="center"/>
      </w:pPr>
      <w:r w:rsidRPr="00B80057">
        <w:rPr>
          <w:position w:val="-79"/>
        </w:rPr>
        <w:pict>
          <v:shape id="_x0000_i1033" style="width:110.6pt;height:90.35pt" coordsize="" o:spt="100" adj="0,,0" path="" filled="f" stroked="f">
            <v:stroke joinstyle="miter"/>
            <v:imagedata r:id="rId14" o:title="base_44_6512_32776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E870B3">
      <w:pPr>
        <w:pStyle w:val="ConsPlusNormal"/>
        <w:jc w:val="center"/>
      </w:pPr>
      <w:r w:rsidRPr="00B80057">
        <w:t>1 - втулка для присоединения подвижной горелки</w:t>
      </w:r>
    </w:p>
    <w:p w:rsidR="00E870B3" w:rsidRPr="00B80057" w:rsidRDefault="00E870B3">
      <w:pPr>
        <w:pStyle w:val="ConsPlusNormal"/>
        <w:jc w:val="center"/>
      </w:pPr>
      <w:r w:rsidRPr="00B80057">
        <w:t>к системе питания топливом; 2 - гибкий шланг;</w:t>
      </w:r>
    </w:p>
    <w:p w:rsidR="00E870B3" w:rsidRPr="00B80057" w:rsidRDefault="00E870B3">
      <w:pPr>
        <w:pStyle w:val="ConsPlusNormal"/>
        <w:jc w:val="center"/>
      </w:pPr>
      <w:r w:rsidRPr="00B80057">
        <w:t>3 - противовес; 4 - ролик; 5 - сопло;</w:t>
      </w:r>
    </w:p>
    <w:p w:rsidR="00E870B3" w:rsidRPr="00B80057" w:rsidRDefault="00E870B3">
      <w:pPr>
        <w:pStyle w:val="ConsPlusNormal"/>
        <w:jc w:val="center"/>
      </w:pPr>
      <w:r w:rsidRPr="00B80057">
        <w:t>6 - стабилизатор пламени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bookmarkStart w:id="21" w:name="P304"/>
      <w:bookmarkEnd w:id="21"/>
      <w:r w:rsidRPr="00B80057">
        <w:t>Рисунок А</w:t>
      </w:r>
      <w:proofErr w:type="gramStart"/>
      <w:r w:rsidRPr="00B80057">
        <w:t>6</w:t>
      </w:r>
      <w:proofErr w:type="gramEnd"/>
      <w:r w:rsidRPr="00B80057">
        <w:t>. Подвижная горелка</w:t>
      </w:r>
    </w:p>
    <w:p w:rsidR="00B80057" w:rsidRPr="00B80057" w:rsidRDefault="00B80057">
      <w:pPr>
        <w:rPr>
          <w:rFonts w:ascii="Calibri" w:eastAsia="Times New Roman" w:hAnsi="Calibri" w:cs="Calibri"/>
          <w:szCs w:val="20"/>
          <w:lang w:eastAsia="ru-RU"/>
        </w:rPr>
      </w:pPr>
      <w:r w:rsidRPr="00B80057">
        <w:br w:type="page"/>
      </w:r>
    </w:p>
    <w:p w:rsidR="00E870B3" w:rsidRPr="00B80057" w:rsidRDefault="00E870B3">
      <w:pPr>
        <w:pStyle w:val="ConsPlusNormal"/>
        <w:jc w:val="right"/>
      </w:pPr>
      <w:r w:rsidRPr="00B80057">
        <w:lastRenderedPageBreak/>
        <w:t>Размеры в миллиметрах</w:t>
      </w:r>
    </w:p>
    <w:p w:rsidR="00E870B3" w:rsidRPr="00B80057" w:rsidRDefault="00B80057">
      <w:pPr>
        <w:pStyle w:val="ConsPlusNormal"/>
        <w:jc w:val="center"/>
      </w:pPr>
      <w:r w:rsidRPr="00B80057">
        <w:rPr>
          <w:position w:val="-330"/>
        </w:rPr>
        <w:pict>
          <v:shape id="_x0000_i1034" style="width:361.3pt;height:341.65pt" coordsize="" o:spt="100" adj="0,,0" path="" filled="f" stroked="f">
            <v:stroke joinstyle="miter"/>
            <v:imagedata r:id="rId15" o:title="base_44_6512_32777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E870B3">
      <w:pPr>
        <w:pStyle w:val="ConsPlusNormal"/>
        <w:jc w:val="center"/>
      </w:pPr>
      <w:r w:rsidRPr="00B80057">
        <w:t>1 - вал приводного механизма;</w:t>
      </w:r>
    </w:p>
    <w:p w:rsidR="00E870B3" w:rsidRPr="00B80057" w:rsidRDefault="00E870B3">
      <w:pPr>
        <w:pStyle w:val="ConsPlusNormal"/>
        <w:jc w:val="center"/>
      </w:pPr>
      <w:r w:rsidRPr="00B80057">
        <w:t>2 - кулачок приводного механизма;</w:t>
      </w:r>
    </w:p>
    <w:p w:rsidR="00E870B3" w:rsidRPr="00B80057" w:rsidRDefault="00E870B3">
      <w:pPr>
        <w:pStyle w:val="ConsPlusNormal"/>
        <w:jc w:val="center"/>
      </w:pPr>
      <w:r w:rsidRPr="00B80057">
        <w:t>3 - кулачок с ограничителем хода;</w:t>
      </w:r>
    </w:p>
    <w:p w:rsidR="00E870B3" w:rsidRPr="00B80057" w:rsidRDefault="00E870B3">
      <w:pPr>
        <w:pStyle w:val="ConsPlusNormal"/>
        <w:jc w:val="center"/>
      </w:pPr>
      <w:r w:rsidRPr="00B80057">
        <w:t>4 - вал ручного управления;</w:t>
      </w:r>
    </w:p>
    <w:p w:rsidR="00E870B3" w:rsidRPr="00B80057" w:rsidRDefault="00E870B3">
      <w:pPr>
        <w:pStyle w:val="ConsPlusNormal"/>
        <w:jc w:val="center"/>
      </w:pPr>
      <w:r w:rsidRPr="00B80057">
        <w:t>5 - линия, проходящая через центр радиационной панели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r w:rsidRPr="00B80057">
        <w:t>Рисунок А</w:t>
      </w:r>
      <w:proofErr w:type="gramStart"/>
      <w:r w:rsidRPr="00B80057">
        <w:t>7</w:t>
      </w:r>
      <w:proofErr w:type="gramEnd"/>
      <w:r w:rsidRPr="00B80057">
        <w:t>. Монтажная плита системы перемещения</w:t>
      </w:r>
    </w:p>
    <w:p w:rsidR="00E870B3" w:rsidRPr="00B80057" w:rsidRDefault="00E870B3">
      <w:pPr>
        <w:pStyle w:val="ConsPlusNormal"/>
        <w:jc w:val="center"/>
      </w:pPr>
      <w:r w:rsidRPr="00B80057">
        <w:t>подвижной горелки</w: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B80057">
      <w:pPr>
        <w:pStyle w:val="ConsPlusNormal"/>
        <w:jc w:val="center"/>
      </w:pPr>
      <w:r w:rsidRPr="00B80057">
        <w:rPr>
          <w:position w:val="-439"/>
        </w:rPr>
        <w:lastRenderedPageBreak/>
        <w:pict>
          <v:shape id="_x0000_i1035" style="width:310.25pt;height:449.65pt" coordsize="" o:spt="100" adj="0,,0" path="" filled="f" stroked="f">
            <v:stroke joinstyle="miter"/>
            <v:imagedata r:id="rId16" o:title="base_44_6512_32778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r w:rsidRPr="00B80057">
        <w:t>1 - кулачок приводного механизма;</w:t>
      </w:r>
    </w:p>
    <w:p w:rsidR="00E870B3" w:rsidRPr="00B80057" w:rsidRDefault="00E870B3">
      <w:pPr>
        <w:pStyle w:val="ConsPlusNormal"/>
        <w:jc w:val="center"/>
      </w:pPr>
      <w:r w:rsidRPr="00B80057">
        <w:t>2 - кулачок с ограничителем хода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bookmarkStart w:id="22" w:name="P324"/>
      <w:bookmarkEnd w:id="22"/>
      <w:r w:rsidRPr="00B80057">
        <w:t>Рисунок А8. Механизм привода подвижной горелки</w:t>
      </w:r>
    </w:p>
    <w:p w:rsidR="00E870B3" w:rsidRPr="00B80057" w:rsidRDefault="00E870B3">
      <w:pPr>
        <w:pStyle w:val="ConsPlusNormal"/>
        <w:jc w:val="center"/>
      </w:pPr>
      <w:r w:rsidRPr="00B80057">
        <w:t>(сетка со стороной квадрата 10 мм)</w:t>
      </w:r>
    </w:p>
    <w:p w:rsidR="00B80057" w:rsidRPr="00B80057" w:rsidRDefault="00B80057">
      <w:pPr>
        <w:rPr>
          <w:rFonts w:ascii="Calibri" w:eastAsia="Times New Roman" w:hAnsi="Calibri" w:cs="Calibri"/>
          <w:szCs w:val="20"/>
          <w:lang w:eastAsia="ru-RU"/>
        </w:rPr>
      </w:pPr>
      <w:r w:rsidRPr="00B80057">
        <w:br w:type="page"/>
      </w:r>
    </w:p>
    <w:p w:rsidR="00E870B3" w:rsidRPr="00B80057" w:rsidRDefault="00E870B3">
      <w:pPr>
        <w:pStyle w:val="ConsPlusNormal"/>
        <w:jc w:val="right"/>
      </w:pPr>
      <w:r w:rsidRPr="00B80057">
        <w:lastRenderedPageBreak/>
        <w:t>Размеры в миллиметрах</w:t>
      </w:r>
    </w:p>
    <w:p w:rsidR="00E870B3" w:rsidRPr="00B80057" w:rsidRDefault="00B80057">
      <w:pPr>
        <w:pStyle w:val="ConsPlusNormal"/>
        <w:jc w:val="center"/>
      </w:pPr>
      <w:r w:rsidRPr="00B80057">
        <w:rPr>
          <w:position w:val="-414"/>
        </w:rPr>
        <w:pict>
          <v:shape id="_x0000_i1036" style="width:307pt;height:425.45pt" coordsize="" o:spt="100" adj="0,,0" path="" filled="f" stroked="f">
            <v:stroke joinstyle="miter"/>
            <v:imagedata r:id="rId17" o:title="base_44_6512_32779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E870B3">
      <w:pPr>
        <w:pStyle w:val="ConsPlusNormal"/>
        <w:jc w:val="center"/>
      </w:pPr>
      <w:r w:rsidRPr="00B80057">
        <w:t>1 - заклепки; 2 - рукоятка;</w:t>
      </w:r>
    </w:p>
    <w:p w:rsidR="00E870B3" w:rsidRPr="00B80057" w:rsidRDefault="00E870B3">
      <w:pPr>
        <w:pStyle w:val="ConsPlusNormal"/>
        <w:jc w:val="center"/>
      </w:pPr>
      <w:r w:rsidRPr="00B80057">
        <w:t>3 - металлический лист (толщина 0,7)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bookmarkStart w:id="23" w:name="P334"/>
      <w:bookmarkEnd w:id="23"/>
      <w:r w:rsidRPr="00B80057">
        <w:t>Рисунок А</w:t>
      </w:r>
      <w:proofErr w:type="gramStart"/>
      <w:r w:rsidRPr="00B80057">
        <w:t>9</w:t>
      </w:r>
      <w:proofErr w:type="gramEnd"/>
      <w:r w:rsidRPr="00B80057">
        <w:t>. Держатель образца</w:t>
      </w:r>
    </w:p>
    <w:p w:rsidR="00B80057" w:rsidRPr="00B80057" w:rsidRDefault="00B80057">
      <w:pPr>
        <w:rPr>
          <w:rFonts w:ascii="Calibri" w:eastAsia="Times New Roman" w:hAnsi="Calibri" w:cs="Calibri"/>
          <w:szCs w:val="20"/>
          <w:lang w:eastAsia="ru-RU"/>
        </w:rPr>
      </w:pPr>
      <w:r w:rsidRPr="00B80057">
        <w:br w:type="page"/>
      </w:r>
    </w:p>
    <w:p w:rsidR="00E870B3" w:rsidRPr="00B80057" w:rsidRDefault="00E870B3">
      <w:pPr>
        <w:pStyle w:val="ConsPlusNormal"/>
        <w:jc w:val="right"/>
      </w:pPr>
      <w:r w:rsidRPr="00B80057">
        <w:lastRenderedPageBreak/>
        <w:t>Размеры в миллиметрах</w:t>
      </w:r>
    </w:p>
    <w:p w:rsidR="00E870B3" w:rsidRPr="00B80057" w:rsidRDefault="00B80057">
      <w:pPr>
        <w:pStyle w:val="ConsPlusNormal"/>
        <w:jc w:val="center"/>
      </w:pPr>
      <w:r w:rsidRPr="00B80057">
        <w:rPr>
          <w:position w:val="-283"/>
        </w:rPr>
        <w:pict>
          <v:shape id="_x0000_i1037" style="width:360.65pt;height:294.55pt" coordsize="" o:spt="100" adj="0,,0" path="" filled="f" stroked="f">
            <v:stroke joinstyle="miter"/>
            <v:imagedata r:id="rId18" o:title="base_44_6512_32780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E870B3">
      <w:pPr>
        <w:pStyle w:val="ConsPlusNormal"/>
        <w:jc w:val="center"/>
      </w:pPr>
      <w:r w:rsidRPr="00B80057">
        <w:t>1 - плоский лист из алюминия или нержавеющей стали</w:t>
      </w:r>
    </w:p>
    <w:p w:rsidR="00E870B3" w:rsidRPr="00B80057" w:rsidRDefault="00E870B3">
      <w:pPr>
        <w:pStyle w:val="ConsPlusNormal"/>
        <w:jc w:val="center"/>
      </w:pPr>
      <w:r w:rsidRPr="00B80057">
        <w:t>(толщина 2 мм); 2 - рукоятка; 3 - заклепки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bookmarkStart w:id="24" w:name="P343"/>
      <w:bookmarkEnd w:id="24"/>
      <w:r w:rsidRPr="00B80057">
        <w:t>Рисунок А10. Экранирующая пластина</w:t>
      </w:r>
    </w:p>
    <w:p w:rsidR="00B80057" w:rsidRPr="00B80057" w:rsidRDefault="00B80057">
      <w:pPr>
        <w:rPr>
          <w:rFonts w:ascii="Calibri" w:eastAsia="Times New Roman" w:hAnsi="Calibri" w:cs="Calibri"/>
          <w:szCs w:val="20"/>
          <w:lang w:eastAsia="ru-RU"/>
        </w:rPr>
      </w:pPr>
      <w:r w:rsidRPr="00B80057">
        <w:br w:type="page"/>
      </w:r>
    </w:p>
    <w:p w:rsidR="00E870B3" w:rsidRPr="00B80057" w:rsidRDefault="00E870B3">
      <w:pPr>
        <w:pStyle w:val="ConsPlusNormal"/>
        <w:jc w:val="right"/>
      </w:pPr>
      <w:r w:rsidRPr="00B80057">
        <w:lastRenderedPageBreak/>
        <w:t>Размеры в миллиметрах</w:t>
      </w:r>
    </w:p>
    <w:p w:rsidR="00E870B3" w:rsidRPr="00B80057" w:rsidRDefault="00B80057">
      <w:pPr>
        <w:pStyle w:val="ConsPlusNormal"/>
        <w:jc w:val="center"/>
      </w:pPr>
      <w:r w:rsidRPr="00B80057">
        <w:rPr>
          <w:position w:val="-313"/>
        </w:rPr>
        <w:pict>
          <v:shape id="_x0000_i1038" style="width:313.55pt;height:324.65pt" coordsize="" o:spt="100" adj="0,,0" path="" filled="f" stroked="f">
            <v:stroke joinstyle="miter"/>
            <v:imagedata r:id="rId19" o:title="base_44_6512_32781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E870B3">
      <w:pPr>
        <w:pStyle w:val="ConsPlusNormal"/>
        <w:jc w:val="center"/>
      </w:pPr>
      <w:r w:rsidRPr="00B80057">
        <w:t>1 - плита из минерального волокна;</w:t>
      </w:r>
    </w:p>
    <w:p w:rsidR="00E870B3" w:rsidRPr="00B80057" w:rsidRDefault="00E870B3">
      <w:pPr>
        <w:pStyle w:val="ConsPlusNormal"/>
        <w:jc w:val="center"/>
      </w:pPr>
      <w:r w:rsidRPr="00B80057">
        <w:t xml:space="preserve">2 - угловая стойка с </w:t>
      </w:r>
      <w:proofErr w:type="spellStart"/>
      <w:r w:rsidRPr="00B80057">
        <w:t>самонарезным</w:t>
      </w:r>
      <w:proofErr w:type="spellEnd"/>
      <w:r w:rsidRPr="00B80057">
        <w:t xml:space="preserve"> винтом;</w:t>
      </w:r>
    </w:p>
    <w:p w:rsidR="00E870B3" w:rsidRPr="00B80057" w:rsidRDefault="00E870B3">
      <w:pPr>
        <w:pStyle w:val="ConsPlusNormal"/>
        <w:jc w:val="center"/>
      </w:pPr>
      <w:r w:rsidRPr="00B80057">
        <w:t>3 - основание образца имитатора;</w:t>
      </w:r>
    </w:p>
    <w:p w:rsidR="00E870B3" w:rsidRPr="00B80057" w:rsidRDefault="00E870B3">
      <w:pPr>
        <w:pStyle w:val="ConsPlusNormal"/>
        <w:jc w:val="center"/>
      </w:pPr>
      <w:r w:rsidRPr="00B80057">
        <w:t>4 - рукоятка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bookmarkStart w:id="25" w:name="P354"/>
      <w:bookmarkEnd w:id="25"/>
      <w:r w:rsidRPr="00B80057">
        <w:t>Рисунок А11. Образец-имитатор</w:t>
      </w:r>
    </w:p>
    <w:p w:rsidR="00B80057" w:rsidRPr="00B80057" w:rsidRDefault="00B80057">
      <w:pPr>
        <w:rPr>
          <w:rFonts w:ascii="Calibri" w:eastAsia="Times New Roman" w:hAnsi="Calibri" w:cs="Calibri"/>
          <w:szCs w:val="20"/>
          <w:lang w:eastAsia="ru-RU"/>
        </w:rPr>
      </w:pPr>
      <w:r w:rsidRPr="00B80057">
        <w:br w:type="page"/>
      </w:r>
    </w:p>
    <w:p w:rsidR="00E870B3" w:rsidRPr="00B80057" w:rsidRDefault="00B80057">
      <w:pPr>
        <w:pStyle w:val="ConsPlusNormal"/>
        <w:jc w:val="center"/>
      </w:pPr>
      <w:r w:rsidRPr="00B80057">
        <w:rPr>
          <w:position w:val="-232"/>
        </w:rPr>
        <w:lastRenderedPageBreak/>
        <w:pict>
          <v:shape id="_x0000_i1039" style="width:358.05pt;height:244.15pt" coordsize="" o:spt="100" adj="0,,0" path="" filled="f" stroked="f">
            <v:stroke joinstyle="miter"/>
            <v:imagedata r:id="rId20" o:title="base_44_6512_32782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E870B3">
      <w:pPr>
        <w:pStyle w:val="ConsPlusNormal"/>
        <w:jc w:val="center"/>
      </w:pPr>
      <w:r w:rsidRPr="00B80057">
        <w:t>1 - регулятор температуры; 2 - подключение термопар;</w:t>
      </w:r>
    </w:p>
    <w:p w:rsidR="00E870B3" w:rsidRPr="00B80057" w:rsidRDefault="00E870B3">
      <w:pPr>
        <w:pStyle w:val="ConsPlusNormal"/>
        <w:jc w:val="center"/>
      </w:pPr>
      <w:r w:rsidRPr="00B80057">
        <w:t>3 - подводка электропитания; 4 - милливольтметр;</w:t>
      </w:r>
    </w:p>
    <w:p w:rsidR="00E870B3" w:rsidRPr="00B80057" w:rsidRDefault="00E870B3">
      <w:pPr>
        <w:pStyle w:val="ConsPlusNormal"/>
        <w:jc w:val="center"/>
      </w:pPr>
      <w:r w:rsidRPr="00B80057">
        <w:t>5 - измеритель теплового потока; 6 - радиационная панель;</w:t>
      </w:r>
    </w:p>
    <w:p w:rsidR="00E870B3" w:rsidRPr="00B80057" w:rsidRDefault="00E870B3">
      <w:pPr>
        <w:pStyle w:val="ConsPlusNormal"/>
        <w:jc w:val="center"/>
      </w:pPr>
      <w:r w:rsidRPr="00B80057">
        <w:t>7 - подвижная горелка; 8 - вспомогательная горелка;</w:t>
      </w:r>
    </w:p>
    <w:p w:rsidR="00E870B3" w:rsidRPr="00B80057" w:rsidRDefault="00E870B3">
      <w:pPr>
        <w:pStyle w:val="ConsPlusNormal"/>
        <w:jc w:val="center"/>
      </w:pPr>
      <w:r w:rsidRPr="00B80057">
        <w:t>9 - втулка для подсоединения подвижной горелки</w:t>
      </w:r>
    </w:p>
    <w:p w:rsidR="00E870B3" w:rsidRPr="00B80057" w:rsidRDefault="00E870B3">
      <w:pPr>
        <w:pStyle w:val="ConsPlusNormal"/>
        <w:jc w:val="center"/>
      </w:pPr>
      <w:r w:rsidRPr="00B80057">
        <w:t>к системе питания топливом; 10 - невозвратные клапаны;</w:t>
      </w:r>
    </w:p>
    <w:p w:rsidR="00E870B3" w:rsidRPr="00B80057" w:rsidRDefault="00E870B3">
      <w:pPr>
        <w:pStyle w:val="ConsPlusNormal"/>
        <w:jc w:val="center"/>
      </w:pPr>
      <w:r w:rsidRPr="00B80057">
        <w:t>11 - игольчатый вентиль; 12 - редуктор; 13 - расходомеры;</w:t>
      </w:r>
    </w:p>
    <w:p w:rsidR="00E870B3" w:rsidRPr="00B80057" w:rsidRDefault="00E870B3">
      <w:pPr>
        <w:pStyle w:val="ConsPlusNormal"/>
        <w:jc w:val="center"/>
      </w:pPr>
      <w:r w:rsidRPr="00B80057">
        <w:t>14 - фильтры; 15 - игольчатые вентили;</w:t>
      </w:r>
    </w:p>
    <w:p w:rsidR="00E870B3" w:rsidRPr="00B80057" w:rsidRDefault="00E870B3">
      <w:pPr>
        <w:pStyle w:val="ConsPlusNormal"/>
        <w:jc w:val="center"/>
      </w:pPr>
      <w:r w:rsidRPr="00B80057">
        <w:t>16 - редукторы-регуляторы давления;</w:t>
      </w:r>
    </w:p>
    <w:p w:rsidR="00E870B3" w:rsidRPr="00B80057" w:rsidRDefault="00E870B3">
      <w:pPr>
        <w:pStyle w:val="ConsPlusNormal"/>
        <w:jc w:val="center"/>
      </w:pPr>
      <w:r w:rsidRPr="00B80057">
        <w:t>17 - подвод сжатого воздуха; 18 - пропан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bookmarkStart w:id="26" w:name="P369"/>
      <w:bookmarkEnd w:id="26"/>
      <w:r w:rsidRPr="00B80057">
        <w:t>Рисунок А12. Принципиальная схема установки</w:t>
      </w:r>
    </w:p>
    <w:p w:rsidR="00E870B3" w:rsidRPr="00B80057" w:rsidRDefault="00E870B3">
      <w:pPr>
        <w:pStyle w:val="ConsPlusNormal"/>
        <w:jc w:val="center"/>
      </w:pPr>
      <w:r w:rsidRPr="00B80057">
        <w:t>и вспомогательного оборудования</w:t>
      </w:r>
    </w:p>
    <w:p w:rsidR="00B80057" w:rsidRPr="00B80057" w:rsidRDefault="00B80057">
      <w:pPr>
        <w:rPr>
          <w:rFonts w:ascii="Calibri" w:eastAsia="Times New Roman" w:hAnsi="Calibri" w:cs="Calibri"/>
          <w:szCs w:val="20"/>
          <w:lang w:eastAsia="ru-RU"/>
        </w:rPr>
      </w:pPr>
      <w:r w:rsidRPr="00B80057">
        <w:br w:type="page"/>
      </w:r>
    </w:p>
    <w:p w:rsidR="00E870B3" w:rsidRPr="00B80057" w:rsidRDefault="00E870B3">
      <w:pPr>
        <w:pStyle w:val="ConsPlusNormal"/>
        <w:jc w:val="right"/>
      </w:pPr>
      <w:r w:rsidRPr="00B80057">
        <w:lastRenderedPageBreak/>
        <w:t>Размеры в миллиметрах</w:t>
      </w:r>
    </w:p>
    <w:p w:rsidR="00E870B3" w:rsidRPr="00B80057" w:rsidRDefault="00B80057">
      <w:pPr>
        <w:pStyle w:val="ConsPlusNormal"/>
        <w:jc w:val="center"/>
      </w:pPr>
      <w:r w:rsidRPr="00B80057">
        <w:rPr>
          <w:position w:val="-284"/>
        </w:rPr>
        <w:pict>
          <v:shape id="_x0000_i1040" style="width:447.7pt;height:295.2pt" coordsize="" o:spt="100" adj="0,,0" path="" filled="f" stroked="f">
            <v:stroke joinstyle="miter"/>
            <v:imagedata r:id="rId21" o:title="base_44_6512_32783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E870B3">
      <w:pPr>
        <w:pStyle w:val="ConsPlusNormal"/>
        <w:jc w:val="center"/>
      </w:pPr>
      <w:r w:rsidRPr="00B80057">
        <w:t>1 - отражатель; 2 - зазор (по всем кромкам отражателя);</w:t>
      </w:r>
    </w:p>
    <w:p w:rsidR="00E870B3" w:rsidRPr="00B80057" w:rsidRDefault="00E870B3">
      <w:pPr>
        <w:pStyle w:val="ConsPlusNormal"/>
        <w:jc w:val="center"/>
      </w:pPr>
      <w:r w:rsidRPr="00B80057">
        <w:t>3 - защитные экраны</w:t>
      </w:r>
    </w:p>
    <w:p w:rsidR="00E870B3" w:rsidRPr="00B80057" w:rsidRDefault="00E870B3">
      <w:pPr>
        <w:pStyle w:val="ConsPlusNormal"/>
        <w:ind w:firstLine="540"/>
        <w:jc w:val="both"/>
      </w:pPr>
    </w:p>
    <w:p w:rsidR="00E870B3" w:rsidRPr="00B80057" w:rsidRDefault="00E870B3">
      <w:pPr>
        <w:pStyle w:val="ConsPlusNormal"/>
        <w:jc w:val="center"/>
      </w:pPr>
      <w:bookmarkStart w:id="27" w:name="P379"/>
      <w:bookmarkEnd w:id="27"/>
      <w:r w:rsidRPr="00B80057">
        <w:t>Рисунок А13. Вытяжной зонт и защитный экран установки</w:t>
      </w:r>
    </w:p>
    <w:p w:rsidR="00E870B3" w:rsidRPr="00B80057" w:rsidRDefault="00E870B3">
      <w:pPr>
        <w:pStyle w:val="ConsPlusNormal"/>
        <w:jc w:val="center"/>
      </w:pPr>
      <w:r w:rsidRPr="00B80057">
        <w:t>для испытаний на воспламеняемость</w:t>
      </w:r>
    </w:p>
    <w:p w:rsidR="00B80057" w:rsidRPr="00B80057" w:rsidRDefault="00B80057">
      <w:pPr>
        <w:rPr>
          <w:rFonts w:ascii="Calibri" w:eastAsia="Times New Roman" w:hAnsi="Calibri" w:cs="Calibri"/>
          <w:szCs w:val="20"/>
          <w:lang w:eastAsia="ru-RU"/>
        </w:rPr>
      </w:pPr>
      <w:r w:rsidRPr="00B80057">
        <w:br w:type="page"/>
      </w:r>
    </w:p>
    <w:p w:rsidR="00E870B3" w:rsidRPr="00B80057" w:rsidRDefault="00E870B3">
      <w:pPr>
        <w:pStyle w:val="ConsPlusNormal"/>
        <w:jc w:val="right"/>
      </w:pPr>
      <w:r w:rsidRPr="00B80057">
        <w:lastRenderedPageBreak/>
        <w:t>Размеры в миллиметрах</w:t>
      </w:r>
    </w:p>
    <w:p w:rsidR="00E870B3" w:rsidRPr="00B80057" w:rsidRDefault="00B80057">
      <w:pPr>
        <w:pStyle w:val="ConsPlusNormal"/>
        <w:jc w:val="center"/>
      </w:pPr>
      <w:r w:rsidRPr="00B80057">
        <w:rPr>
          <w:position w:val="-374"/>
        </w:rPr>
        <w:pict>
          <v:shape id="_x0000_i1041" style="width:339.7pt;height:385.55pt" coordsize="" o:spt="100" adj="0,,0" path="" filled="f" stroked="f">
            <v:stroke joinstyle="miter"/>
            <v:imagedata r:id="rId22" o:title="base_44_6512_32784"/>
            <v:formulas/>
            <v:path o:connecttype="segments"/>
          </v:shape>
        </w:pict>
      </w:r>
    </w:p>
    <w:p w:rsidR="00E870B3" w:rsidRPr="00B80057" w:rsidRDefault="00E870B3">
      <w:pPr>
        <w:pStyle w:val="ConsPlusNormal"/>
        <w:jc w:val="center"/>
      </w:pPr>
    </w:p>
    <w:p w:rsidR="00E870B3" w:rsidRPr="00B80057" w:rsidRDefault="00E870B3">
      <w:pPr>
        <w:pStyle w:val="ConsPlusNormal"/>
        <w:jc w:val="center"/>
      </w:pPr>
      <w:r w:rsidRPr="00B80057">
        <w:t>1 - алюминиевая фольга; 2- образец</w:t>
      </w:r>
    </w:p>
    <w:p w:rsidR="00E870B3" w:rsidRPr="00B80057" w:rsidRDefault="00E870B3">
      <w:pPr>
        <w:pStyle w:val="ConsPlusNormal"/>
        <w:ind w:firstLine="540"/>
        <w:jc w:val="both"/>
      </w:pPr>
    </w:p>
    <w:p w:rsidR="00D74437" w:rsidRPr="00B80057" w:rsidRDefault="00E870B3" w:rsidP="00E870B3">
      <w:pPr>
        <w:pStyle w:val="ConsPlusNormal"/>
        <w:jc w:val="center"/>
      </w:pPr>
      <w:bookmarkStart w:id="28" w:name="P388"/>
      <w:bookmarkEnd w:id="28"/>
      <w:r w:rsidRPr="00B80057">
        <w:t>Рисунок А14. Подготовка образца к испытанию</w:t>
      </w:r>
    </w:p>
    <w:sectPr w:rsidR="00D74437" w:rsidRPr="00B80057" w:rsidSect="00B0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B3"/>
    <w:rsid w:val="00A03C5B"/>
    <w:rsid w:val="00B80057"/>
    <w:rsid w:val="00D74437"/>
    <w:rsid w:val="00E8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870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87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70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03C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870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87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70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03C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hyperlink" Target="https://fireman.club/inseklodepia/elektrobezopasnost/" TargetMode="Externa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24</Pages>
  <Words>4104</Words>
  <Characters>23398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2017-12-13T10:20:00Z</dcterms:created>
  <dcterms:modified xsi:type="dcterms:W3CDTF">2018-01-04T16:56:00Z</dcterms:modified>
</cp:coreProperties>
</file>