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698" w:rsidRPr="004C3D35" w:rsidRDefault="00504698">
      <w:pPr>
        <w:pStyle w:val="ConsPlusNormal"/>
        <w:jc w:val="right"/>
      </w:pPr>
      <w:bookmarkStart w:id="0" w:name="_GoBack"/>
      <w:bookmarkEnd w:id="0"/>
      <w:proofErr w:type="gramStart"/>
      <w:r w:rsidRPr="004C3D35">
        <w:t>Принят</w:t>
      </w:r>
      <w:proofErr w:type="gramEnd"/>
      <w:r w:rsidRPr="004C3D35">
        <w:t xml:space="preserve"> и введен в действие</w:t>
      </w:r>
    </w:p>
    <w:p w:rsidR="00504698" w:rsidRPr="004C3D35" w:rsidRDefault="00504698">
      <w:pPr>
        <w:pStyle w:val="ConsPlusNormal"/>
        <w:jc w:val="right"/>
      </w:pPr>
      <w:r w:rsidRPr="004C3D35">
        <w:t>Постановлением Минстроя РФ</w:t>
      </w:r>
    </w:p>
    <w:p w:rsidR="00504698" w:rsidRPr="004C3D35" w:rsidRDefault="00504698">
      <w:pPr>
        <w:pStyle w:val="ConsPlusNormal"/>
        <w:jc w:val="right"/>
      </w:pPr>
      <w:r w:rsidRPr="004C3D35">
        <w:t xml:space="preserve">от 27 декабря 1996 г. </w:t>
      </w:r>
      <w:r w:rsidR="004C3D35" w:rsidRPr="004C3D35">
        <w:t>№</w:t>
      </w:r>
      <w:r w:rsidRPr="004C3D35">
        <w:t xml:space="preserve"> 18-93</w:t>
      </w:r>
    </w:p>
    <w:p w:rsidR="00504698" w:rsidRPr="004C3D35" w:rsidRDefault="00504698">
      <w:pPr>
        <w:pStyle w:val="ConsPlusNormal"/>
        <w:jc w:val="center"/>
      </w:pPr>
    </w:p>
    <w:p w:rsidR="00504698" w:rsidRPr="004C3D35" w:rsidRDefault="00504698">
      <w:pPr>
        <w:pStyle w:val="ConsPlusTitle"/>
        <w:jc w:val="center"/>
      </w:pPr>
      <w:r w:rsidRPr="004C3D35">
        <w:t>ГОСУДАРСТВЕННЫЙ СТАНДАРТ РОССИЙСКОЙ ФЕДЕРАЦИИ</w:t>
      </w:r>
    </w:p>
    <w:p w:rsidR="00504698" w:rsidRPr="004C3D35" w:rsidRDefault="00504698">
      <w:pPr>
        <w:pStyle w:val="ConsPlusTitle"/>
        <w:jc w:val="center"/>
      </w:pPr>
    </w:p>
    <w:p w:rsidR="00504698" w:rsidRPr="004C3D35" w:rsidRDefault="00504698">
      <w:pPr>
        <w:pStyle w:val="ConsPlusTitle"/>
        <w:jc w:val="center"/>
      </w:pPr>
      <w:r w:rsidRPr="004C3D35">
        <w:t>МАТЕРИАЛЫ СТРОИТЕЛЬНЫЕ</w:t>
      </w:r>
    </w:p>
    <w:p w:rsidR="00504698" w:rsidRPr="004C3D35" w:rsidRDefault="00504698">
      <w:pPr>
        <w:pStyle w:val="ConsPlusTitle"/>
        <w:jc w:val="center"/>
      </w:pPr>
      <w:r w:rsidRPr="004C3D35">
        <w:t>МЕТОД ИСПЫТАНИЯ НА РАСПРОСТРАНЕНИЕ ПЛАМЕНИ</w:t>
      </w:r>
    </w:p>
    <w:p w:rsidR="00504698" w:rsidRPr="004C3D35" w:rsidRDefault="00504698">
      <w:pPr>
        <w:pStyle w:val="ConsPlusTitle"/>
        <w:jc w:val="center"/>
      </w:pPr>
    </w:p>
    <w:p w:rsidR="00504698" w:rsidRPr="004C3D35" w:rsidRDefault="00504698">
      <w:pPr>
        <w:pStyle w:val="ConsPlusTitle"/>
        <w:jc w:val="center"/>
      </w:pPr>
      <w:r w:rsidRPr="004C3D35">
        <w:t>BUILDING MATERIALS. SPREAD FLAME TEST METHOD</w:t>
      </w:r>
    </w:p>
    <w:p w:rsidR="00504698" w:rsidRPr="004C3D35" w:rsidRDefault="00504698">
      <w:pPr>
        <w:pStyle w:val="ConsPlusTitle"/>
        <w:jc w:val="center"/>
      </w:pPr>
    </w:p>
    <w:p w:rsidR="00504698" w:rsidRPr="004C3D35" w:rsidRDefault="00504698">
      <w:pPr>
        <w:pStyle w:val="ConsPlusTitle"/>
        <w:jc w:val="center"/>
      </w:pPr>
      <w:r w:rsidRPr="004C3D35">
        <w:t xml:space="preserve">ГОСТ </w:t>
      </w:r>
      <w:proofErr w:type="gramStart"/>
      <w:r w:rsidRPr="004C3D35">
        <w:t>Р</w:t>
      </w:r>
      <w:proofErr w:type="gramEnd"/>
      <w:r w:rsidRPr="004C3D35">
        <w:t xml:space="preserve"> 51032-97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jc w:val="right"/>
      </w:pPr>
      <w:r w:rsidRPr="004C3D35">
        <w:t>Группа Ж39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jc w:val="right"/>
      </w:pPr>
      <w:r w:rsidRPr="004C3D35">
        <w:t>ОКС 91.100;</w:t>
      </w:r>
    </w:p>
    <w:p w:rsidR="00504698" w:rsidRPr="004C3D35" w:rsidRDefault="00504698">
      <w:pPr>
        <w:pStyle w:val="ConsPlusNormal"/>
        <w:jc w:val="right"/>
      </w:pPr>
      <w:r w:rsidRPr="004C3D35">
        <w:t>ОКСТУ 5719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jc w:val="right"/>
      </w:pPr>
      <w:r w:rsidRPr="004C3D35">
        <w:t>Дата введения</w:t>
      </w:r>
    </w:p>
    <w:p w:rsidR="00504698" w:rsidRPr="004C3D35" w:rsidRDefault="00504698">
      <w:pPr>
        <w:pStyle w:val="ConsPlusNormal"/>
        <w:jc w:val="right"/>
      </w:pPr>
      <w:r w:rsidRPr="004C3D35">
        <w:t>1 января 1997 года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jc w:val="center"/>
        <w:outlineLvl w:val="0"/>
        <w:rPr>
          <w:b/>
        </w:rPr>
      </w:pPr>
      <w:r w:rsidRPr="004C3D35">
        <w:rPr>
          <w:b/>
        </w:rPr>
        <w:t>Предисловие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ind w:firstLine="540"/>
        <w:jc w:val="both"/>
      </w:pPr>
      <w:r w:rsidRPr="004C3D35">
        <w:t xml:space="preserve">1. Разработан Государственным центральным научно-исследовательским и проектно-экспериментальным институтом комплексных проблем строительных конструкций и сооружений им. В.А. Кучеренко (ЦНИИСК им. Кучеренко) Государственного научного центра </w:t>
      </w:r>
      <w:r w:rsidR="00E00217">
        <w:t>«</w:t>
      </w:r>
      <w:r w:rsidRPr="004C3D35">
        <w:t>Строительство</w:t>
      </w:r>
      <w:r w:rsidR="00E00217">
        <w:t>»</w:t>
      </w:r>
      <w:r w:rsidRPr="004C3D35">
        <w:t xml:space="preserve"> (ГНЦ </w:t>
      </w:r>
      <w:r w:rsidR="00E00217">
        <w:t>«</w:t>
      </w:r>
      <w:r w:rsidRPr="004C3D35">
        <w:t>Строительство</w:t>
      </w:r>
      <w:r w:rsidR="00E00217">
        <w:t>»</w:t>
      </w:r>
      <w:r w:rsidRPr="004C3D35">
        <w:t xml:space="preserve">), </w:t>
      </w:r>
      <w:hyperlink r:id="rId5" w:history="1">
        <w:r w:rsidRPr="00F12EEB">
          <w:rPr>
            <w:rStyle w:val="a4"/>
            <w:color w:val="auto"/>
            <w:u w:val="none"/>
          </w:rPr>
          <w:t>Всероссийским научно-исследовательским институтом противопожарной обороны</w:t>
        </w:r>
      </w:hyperlink>
      <w:r w:rsidRPr="004C3D35">
        <w:t xml:space="preserve"> (ВНИИПО) МВД России с участием Московского института пожарной безопасности МВД России.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proofErr w:type="gramStart"/>
      <w:r w:rsidRPr="004C3D35">
        <w:t>Внесен</w:t>
      </w:r>
      <w:proofErr w:type="gramEnd"/>
      <w:r w:rsidRPr="004C3D35">
        <w:t xml:space="preserve"> Управлением стандартизации, технического нормирования и сертификации Минстроя России.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 xml:space="preserve">2. Принят и введен в действие Постановлением Минстроя России от 27.12.1996 г. </w:t>
      </w:r>
      <w:r w:rsidR="004C3D35" w:rsidRPr="004C3D35">
        <w:t>№</w:t>
      </w:r>
      <w:r w:rsidRPr="004C3D35">
        <w:t xml:space="preserve"> 18-93.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jc w:val="center"/>
        <w:outlineLvl w:val="0"/>
        <w:rPr>
          <w:b/>
        </w:rPr>
      </w:pPr>
      <w:r w:rsidRPr="004C3D35">
        <w:rPr>
          <w:b/>
        </w:rPr>
        <w:t>Введение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ind w:firstLine="540"/>
        <w:jc w:val="both"/>
      </w:pPr>
      <w:r w:rsidRPr="004C3D35">
        <w:t xml:space="preserve">Настоящий стандарт разработан на основе проекта стандарта ИСО/ПМС 9239.2 </w:t>
      </w:r>
      <w:r w:rsidR="00E00217">
        <w:t>«</w:t>
      </w:r>
      <w:r w:rsidRPr="004C3D35">
        <w:t>Основные испытания - Реакция на огонь - Распространение пламени по горизонтальной поверхности покрытий пола под действием радиационного теплового источника зажигания</w:t>
      </w:r>
      <w:r w:rsidR="00E00217">
        <w:t>»</w:t>
      </w:r>
      <w:r w:rsidRPr="004C3D35">
        <w:t>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Разделы 6-8 настоящего стандарта аутентичны соответствующим разделам проекта стандарта ИСО/ПМС 9239.2.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jc w:val="center"/>
        <w:outlineLvl w:val="0"/>
        <w:rPr>
          <w:b/>
        </w:rPr>
      </w:pPr>
      <w:r w:rsidRPr="004C3D35">
        <w:rPr>
          <w:b/>
        </w:rPr>
        <w:t>1. Область применения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ind w:firstLine="540"/>
        <w:jc w:val="both"/>
      </w:pPr>
      <w:r w:rsidRPr="004C3D35">
        <w:t>Настоящий стандарт устанавливает метод испытания на распространение пламени по материалам поверхностных слоев конструкций полов и кровель, а также классификацию их по группам распространения пламени.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Настоящий стандарт применяется для всех однородных и слоистых горючих строительных материалов, используемых в поверхностных слоях конструкций полов и кровель.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jc w:val="center"/>
        <w:outlineLvl w:val="0"/>
        <w:rPr>
          <w:b/>
        </w:rPr>
      </w:pPr>
      <w:r w:rsidRPr="004C3D35">
        <w:rPr>
          <w:b/>
        </w:rPr>
        <w:t>2. Нормативные ссылки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ind w:firstLine="540"/>
        <w:jc w:val="both"/>
      </w:pPr>
      <w:r w:rsidRPr="004C3D35">
        <w:t>В настоящем стандарте использованы ссылки на следующие стандарты: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ГОСТ 12.1.005-88. ССБТ. Общие санитарно-гигиенические требования к воздуху рабочей зоны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ГОСТ 12.1.019-79. ССБТ. Электробезопасность. Общие требования и номенклатура видов защиты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ГОСТ 3044-84. Преобразователи термоэлектрические. Номинальные статические характеристики преобразования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ГОСТ 18124-95. Листы асбестоцементные плоские. Технические условия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ГОСТ 30244-94. Материалы строительные. Методы испытания на горючесть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proofErr w:type="gramStart"/>
      <w:r w:rsidRPr="004C3D35">
        <w:t>СТ</w:t>
      </w:r>
      <w:proofErr w:type="gramEnd"/>
      <w:r w:rsidRPr="004C3D35">
        <w:t xml:space="preserve"> СЭВ 383-87. Пожарная безопасность в строительстве. Термины и определения.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jc w:val="center"/>
        <w:outlineLvl w:val="0"/>
        <w:rPr>
          <w:b/>
        </w:rPr>
      </w:pPr>
      <w:r w:rsidRPr="004C3D35">
        <w:rPr>
          <w:b/>
        </w:rPr>
        <w:t>3. Определения, обозначения и сокращения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ind w:firstLine="540"/>
        <w:jc w:val="both"/>
      </w:pPr>
      <w:r w:rsidRPr="004C3D35">
        <w:t xml:space="preserve">В настоящем стандарте применяют термины и определения по </w:t>
      </w:r>
      <w:proofErr w:type="gramStart"/>
      <w:r w:rsidRPr="004C3D35">
        <w:t>СТ</w:t>
      </w:r>
      <w:proofErr w:type="gramEnd"/>
      <w:r w:rsidRPr="004C3D35">
        <w:t xml:space="preserve"> СЭВ 383, а также следующие термины с соответствующими определениями.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Время воспламенения - время от начала воздействия пламени источника зажигания на образец до его воспламенения.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Распространение пламени - распространение пламенного горения по поверхности образца в результате воздействия, предусмотренного настоящим стандартом.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Длина распространения пламени (L) - максимальная величина повреждения поверхности образца в результате распространения пламенного горения.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Экспонируемая поверхность - поверхность образца, подвергающаяся воздействию лучистого теплового потока и пламени от источника зажигания при испытании на распространение пламени.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Поверхностная плотность теплового потока (ППТП) - лучистый тепловой поток, воздействующий на единицу поверхности образца.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Критическая поверхностная плотность теплового потока (КППТП) - величина теплового потока, при которой прекращается распространение пламени.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jc w:val="center"/>
        <w:outlineLvl w:val="0"/>
        <w:rPr>
          <w:b/>
        </w:rPr>
      </w:pPr>
      <w:r w:rsidRPr="004C3D35">
        <w:rPr>
          <w:b/>
        </w:rPr>
        <w:t>4. Основные положения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ind w:firstLine="540"/>
        <w:jc w:val="both"/>
      </w:pPr>
      <w:r w:rsidRPr="004C3D35">
        <w:t>Сущность метода состоит в определении критической поверхностной плотности теплового потока, величину которого устанавливают по длине распространения пламени по образцу в результате воздействия теплового потока на его поверхность.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 w:rsidP="004C3D35">
      <w:pPr>
        <w:pStyle w:val="ConsPlusNormal"/>
        <w:jc w:val="center"/>
        <w:outlineLvl w:val="0"/>
        <w:rPr>
          <w:b/>
        </w:rPr>
      </w:pPr>
      <w:r w:rsidRPr="004C3D35">
        <w:rPr>
          <w:b/>
        </w:rPr>
        <w:t>5. Классификация строительных материалов</w:t>
      </w:r>
      <w:r w:rsidR="004C3D35">
        <w:rPr>
          <w:b/>
        </w:rPr>
        <w:t xml:space="preserve"> </w:t>
      </w:r>
      <w:r w:rsidRPr="004C3D35">
        <w:rPr>
          <w:b/>
        </w:rPr>
        <w:t>по группам распространения пламени</w:t>
      </w:r>
    </w:p>
    <w:p w:rsidR="00504698" w:rsidRPr="004C3D35" w:rsidRDefault="00504698">
      <w:pPr>
        <w:pStyle w:val="ConsPlusNormal"/>
        <w:ind w:firstLine="540"/>
        <w:jc w:val="both"/>
      </w:pPr>
    </w:p>
    <w:p w:rsidR="004C3D35" w:rsidRPr="004C3D35" w:rsidRDefault="004C3D35" w:rsidP="004C3D35">
      <w:pPr>
        <w:pStyle w:val="ConsPlusNormal"/>
        <w:ind w:firstLine="567"/>
        <w:jc w:val="both"/>
      </w:pPr>
      <w:r w:rsidRPr="004C3D35">
        <w:t xml:space="preserve">Применение на добровольной основе пункта 5.1 обеспечивает соблюдение требований Федерального закона от 22.07.2008 № 123-ФЗ </w:t>
      </w:r>
      <w:r w:rsidR="00E00217">
        <w:t>«</w:t>
      </w:r>
      <w:r w:rsidRPr="004C3D35">
        <w:t>Технический регламент о требованиях пожарной безопасности</w:t>
      </w:r>
      <w:r w:rsidR="00E00217">
        <w:t>»</w:t>
      </w:r>
      <w:r w:rsidRPr="004C3D35">
        <w:t xml:space="preserve"> (Приказ </w:t>
      </w:r>
      <w:proofErr w:type="spellStart"/>
      <w:r w:rsidRPr="004C3D35">
        <w:t>Росстандарта</w:t>
      </w:r>
      <w:proofErr w:type="spellEnd"/>
      <w:r w:rsidRPr="004C3D35">
        <w:t xml:space="preserve"> от 16.04.2014 № 474).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5.1. Горючие строительные материалы (по ГОСТ 30244) в зависимости от величины КППТП подразделяют на четыре группы распространения пламени: РП</w:t>
      </w:r>
      <w:proofErr w:type="gramStart"/>
      <w:r w:rsidRPr="004C3D35">
        <w:t>1</w:t>
      </w:r>
      <w:proofErr w:type="gramEnd"/>
      <w:r w:rsidRPr="004C3D35">
        <w:t>, РП2, РП3, РП4 (таблица 1).</w:t>
      </w:r>
    </w:p>
    <w:p w:rsidR="00504698" w:rsidRPr="004C3D35" w:rsidRDefault="00504698">
      <w:pPr>
        <w:pStyle w:val="ConsPlusNormal"/>
        <w:ind w:firstLine="540"/>
        <w:jc w:val="both"/>
      </w:pPr>
    </w:p>
    <w:p w:rsidR="004C3D35" w:rsidRDefault="004C3D35">
      <w:pPr>
        <w:pStyle w:val="ConsPlusNormal"/>
        <w:jc w:val="right"/>
      </w:pPr>
    </w:p>
    <w:p w:rsidR="00504698" w:rsidRPr="004C3D35" w:rsidRDefault="00504698">
      <w:pPr>
        <w:pStyle w:val="ConsPlusNormal"/>
        <w:jc w:val="right"/>
      </w:pPr>
      <w:r w:rsidRPr="004C3D35">
        <w:lastRenderedPageBreak/>
        <w:t>Таблица 1</w:t>
      </w:r>
    </w:p>
    <w:p w:rsidR="00504698" w:rsidRPr="004C3D35" w:rsidRDefault="00504698">
      <w:pPr>
        <w:pStyle w:val="ConsPlusNormal"/>
        <w:ind w:firstLine="540"/>
        <w:jc w:val="both"/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360"/>
        <w:gridCol w:w="5339"/>
      </w:tblGrid>
      <w:tr w:rsidR="004C3D35" w:rsidRPr="004C3D35" w:rsidTr="004C3D35">
        <w:trPr>
          <w:trHeight w:val="240"/>
          <w:jc w:val="center"/>
        </w:trPr>
        <w:tc>
          <w:tcPr>
            <w:tcW w:w="3360" w:type="dxa"/>
          </w:tcPr>
          <w:p w:rsidR="00504698" w:rsidRPr="004C3D35" w:rsidRDefault="00504698" w:rsidP="004C3D35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4C3D35">
              <w:rPr>
                <w:rFonts w:asciiTheme="minorHAnsi" w:hAnsiTheme="minorHAnsi"/>
                <w:sz w:val="22"/>
              </w:rPr>
              <w:t>Группа распространения</w:t>
            </w:r>
            <w:r w:rsidR="004C3D35" w:rsidRPr="004C3D35">
              <w:rPr>
                <w:rFonts w:asciiTheme="minorHAnsi" w:hAnsiTheme="minorHAnsi"/>
                <w:sz w:val="22"/>
              </w:rPr>
              <w:t xml:space="preserve"> </w:t>
            </w:r>
            <w:r w:rsidRPr="004C3D35">
              <w:rPr>
                <w:rFonts w:asciiTheme="minorHAnsi" w:hAnsiTheme="minorHAnsi"/>
                <w:sz w:val="22"/>
              </w:rPr>
              <w:t>пламени</w:t>
            </w:r>
          </w:p>
        </w:tc>
        <w:tc>
          <w:tcPr>
            <w:tcW w:w="5339" w:type="dxa"/>
          </w:tcPr>
          <w:p w:rsidR="00504698" w:rsidRPr="004C3D35" w:rsidRDefault="00504698" w:rsidP="004C3D35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4C3D35">
              <w:rPr>
                <w:rFonts w:asciiTheme="minorHAnsi" w:hAnsiTheme="minorHAnsi"/>
                <w:sz w:val="22"/>
              </w:rPr>
              <w:t>Критическая поверхностная плотность</w:t>
            </w:r>
            <w:r w:rsidR="004C3D35" w:rsidRPr="004C3D35">
              <w:rPr>
                <w:rFonts w:asciiTheme="minorHAnsi" w:hAnsiTheme="minorHAnsi"/>
                <w:sz w:val="22"/>
              </w:rPr>
              <w:t xml:space="preserve"> </w:t>
            </w:r>
            <w:r w:rsidRPr="004C3D35">
              <w:rPr>
                <w:rFonts w:asciiTheme="minorHAnsi" w:hAnsiTheme="minorHAnsi"/>
                <w:sz w:val="22"/>
              </w:rPr>
              <w:t>теплового потока, кВт/м</w:t>
            </w:r>
            <w:proofErr w:type="gramStart"/>
            <w:r w:rsidRPr="004C3D35">
              <w:rPr>
                <w:rFonts w:asciiTheme="minorHAnsi" w:hAnsiTheme="minorHAnsi"/>
                <w:sz w:val="22"/>
                <w:vertAlign w:val="superscript"/>
              </w:rPr>
              <w:t>2</w:t>
            </w:r>
            <w:proofErr w:type="gramEnd"/>
          </w:p>
        </w:tc>
      </w:tr>
      <w:tr w:rsidR="004C3D35" w:rsidRPr="004C3D35" w:rsidTr="004C3D35">
        <w:trPr>
          <w:trHeight w:val="240"/>
          <w:jc w:val="center"/>
        </w:trPr>
        <w:tc>
          <w:tcPr>
            <w:tcW w:w="3360" w:type="dxa"/>
            <w:tcBorders>
              <w:top w:val="nil"/>
            </w:tcBorders>
          </w:tcPr>
          <w:p w:rsidR="00504698" w:rsidRPr="004C3D35" w:rsidRDefault="00504698" w:rsidP="004C3D35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4C3D35">
              <w:rPr>
                <w:rFonts w:asciiTheme="minorHAnsi" w:hAnsiTheme="minorHAnsi"/>
                <w:sz w:val="22"/>
              </w:rPr>
              <w:t>РП</w:t>
            </w:r>
            <w:proofErr w:type="gramStart"/>
            <w:r w:rsidRPr="004C3D35">
              <w:rPr>
                <w:rFonts w:asciiTheme="minorHAnsi" w:hAnsiTheme="minorHAnsi"/>
                <w:sz w:val="22"/>
              </w:rPr>
              <w:t>1</w:t>
            </w:r>
            <w:proofErr w:type="gramEnd"/>
          </w:p>
          <w:p w:rsidR="00504698" w:rsidRPr="004C3D35" w:rsidRDefault="00504698" w:rsidP="004C3D35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4C3D35">
              <w:rPr>
                <w:rFonts w:asciiTheme="minorHAnsi" w:hAnsiTheme="minorHAnsi"/>
                <w:sz w:val="22"/>
              </w:rPr>
              <w:t>РП</w:t>
            </w:r>
            <w:proofErr w:type="gramStart"/>
            <w:r w:rsidRPr="004C3D35">
              <w:rPr>
                <w:rFonts w:asciiTheme="minorHAnsi" w:hAnsiTheme="minorHAnsi"/>
                <w:sz w:val="22"/>
              </w:rPr>
              <w:t>2</w:t>
            </w:r>
            <w:proofErr w:type="gramEnd"/>
          </w:p>
          <w:p w:rsidR="00504698" w:rsidRPr="004C3D35" w:rsidRDefault="00504698" w:rsidP="004C3D35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4C3D35">
              <w:rPr>
                <w:rFonts w:asciiTheme="minorHAnsi" w:hAnsiTheme="minorHAnsi"/>
                <w:sz w:val="22"/>
              </w:rPr>
              <w:t>РП3</w:t>
            </w:r>
          </w:p>
          <w:p w:rsidR="00504698" w:rsidRPr="004C3D35" w:rsidRDefault="00504698" w:rsidP="004C3D35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4C3D35">
              <w:rPr>
                <w:rFonts w:asciiTheme="minorHAnsi" w:hAnsiTheme="minorHAnsi"/>
                <w:sz w:val="22"/>
              </w:rPr>
              <w:t>РП</w:t>
            </w:r>
            <w:proofErr w:type="gramStart"/>
            <w:r w:rsidRPr="004C3D35">
              <w:rPr>
                <w:rFonts w:asciiTheme="minorHAnsi" w:hAnsiTheme="minorHAnsi"/>
                <w:sz w:val="22"/>
              </w:rPr>
              <w:t>4</w:t>
            </w:r>
            <w:proofErr w:type="gramEnd"/>
          </w:p>
        </w:tc>
        <w:tc>
          <w:tcPr>
            <w:tcW w:w="5339" w:type="dxa"/>
            <w:tcBorders>
              <w:top w:val="nil"/>
            </w:tcBorders>
          </w:tcPr>
          <w:p w:rsidR="00504698" w:rsidRPr="004C3D35" w:rsidRDefault="00504698" w:rsidP="004C3D35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4C3D35">
              <w:rPr>
                <w:rFonts w:asciiTheme="minorHAnsi" w:hAnsiTheme="minorHAnsi"/>
                <w:sz w:val="22"/>
              </w:rPr>
              <w:t>11,0 и более</w:t>
            </w:r>
          </w:p>
          <w:p w:rsidR="00504698" w:rsidRPr="004C3D35" w:rsidRDefault="00504698" w:rsidP="004C3D35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4C3D35">
              <w:rPr>
                <w:rFonts w:asciiTheme="minorHAnsi" w:hAnsiTheme="minorHAnsi"/>
                <w:sz w:val="22"/>
              </w:rPr>
              <w:t>от 8,0, но менее 11,0</w:t>
            </w:r>
          </w:p>
          <w:p w:rsidR="00504698" w:rsidRPr="004C3D35" w:rsidRDefault="00504698" w:rsidP="004C3D35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4C3D35">
              <w:rPr>
                <w:rFonts w:asciiTheme="minorHAnsi" w:hAnsiTheme="minorHAnsi"/>
                <w:sz w:val="22"/>
              </w:rPr>
              <w:t>от 5,0, но менее 8,0</w:t>
            </w:r>
          </w:p>
          <w:p w:rsidR="00504698" w:rsidRPr="004C3D35" w:rsidRDefault="00504698" w:rsidP="004C3D35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4C3D35">
              <w:rPr>
                <w:rFonts w:asciiTheme="minorHAnsi" w:hAnsiTheme="minorHAnsi"/>
                <w:sz w:val="22"/>
              </w:rPr>
              <w:t>менее 5,0</w:t>
            </w:r>
          </w:p>
        </w:tc>
      </w:tr>
    </w:tbl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jc w:val="center"/>
        <w:outlineLvl w:val="0"/>
        <w:rPr>
          <w:b/>
        </w:rPr>
      </w:pPr>
      <w:bookmarkStart w:id="1" w:name="P80"/>
      <w:bookmarkEnd w:id="1"/>
      <w:r w:rsidRPr="004C3D35">
        <w:rPr>
          <w:b/>
        </w:rPr>
        <w:t>6. Образцы для испытания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ind w:firstLine="540"/>
        <w:jc w:val="both"/>
      </w:pPr>
      <w:r w:rsidRPr="004C3D35">
        <w:t>6.1. Для испытаний изготавливают 5 образцов материала размером 1100 х 250 мм. Для анизотропных материалов изготавливают 2 комплекта образцов (например, по утку и по основе).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 xml:space="preserve">6.2. Образцы для стандартного испытания изготавливают в сочетании с негорючей основой. Способ крепления материала к основе должен соответствовать </w:t>
      </w:r>
      <w:proofErr w:type="gramStart"/>
      <w:r w:rsidRPr="004C3D35">
        <w:t>используемому</w:t>
      </w:r>
      <w:proofErr w:type="gramEnd"/>
      <w:r w:rsidRPr="004C3D35">
        <w:t xml:space="preserve"> в реальных условиях.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В качестве негорючей основы следует применять асбестоцементные листы по ГОСТ 18124 толщиной 10 или 12 мм.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Толщина образца с негорючей основой должна составлять не более 60 мм.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 xml:space="preserve">В тех случаях, когда техническая документация не предусматривает использование материала по негорючему основанию, образцы изготавливают с основой и креплением, </w:t>
      </w:r>
      <w:proofErr w:type="gramStart"/>
      <w:r w:rsidRPr="004C3D35">
        <w:t>соответствующими</w:t>
      </w:r>
      <w:proofErr w:type="gramEnd"/>
      <w:r w:rsidRPr="004C3D35">
        <w:t xml:space="preserve"> реальным условиям применения.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 xml:space="preserve">6.3. Кровельные мастики, а также мастичные покрытия пола следует наносить на основу в соответствии с технической документацией, но не менее чем в четыре слоя, при этом расход материала при нанесении на основу каждого слоя должен соответствовать </w:t>
      </w:r>
      <w:proofErr w:type="gramStart"/>
      <w:r w:rsidRPr="004C3D35">
        <w:t>принятому</w:t>
      </w:r>
      <w:proofErr w:type="gramEnd"/>
      <w:r w:rsidRPr="004C3D35">
        <w:t xml:space="preserve"> в технической документации.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Образцы полов, применяемых с лакокрасочными покрытиями, следует изготавливать с этими покрытиями, нанесенными в четыре слоя.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 xml:space="preserve">6.4. Образцы кондиционируют при температуре (20 </w:t>
      </w:r>
      <w:r w:rsidR="00D44698">
        <w:t>±</w:t>
      </w:r>
      <w:r w:rsidRPr="004C3D35">
        <w:t xml:space="preserve"> 5) °С и относительной влажности (65 </w:t>
      </w:r>
      <w:r w:rsidR="00D44698">
        <w:t>±</w:t>
      </w:r>
      <w:r w:rsidRPr="004C3D35">
        <w:t xml:space="preserve"> 5)% не менее 72 ч.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jc w:val="center"/>
        <w:outlineLvl w:val="0"/>
        <w:rPr>
          <w:b/>
        </w:rPr>
      </w:pPr>
      <w:r w:rsidRPr="004C3D35">
        <w:rPr>
          <w:b/>
        </w:rPr>
        <w:t>7. Оборудование для испытания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ind w:firstLine="540"/>
        <w:jc w:val="both"/>
      </w:pPr>
      <w:r w:rsidRPr="004C3D35">
        <w:t>7.1. Схема установки для испытаний на распространение пламени приведена на рисунке 1.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4C3D35">
      <w:pPr>
        <w:pStyle w:val="ConsPlusNormal"/>
        <w:jc w:val="center"/>
      </w:pPr>
      <w:r w:rsidRPr="004C3D35">
        <w:rPr>
          <w:position w:val="-264"/>
        </w:rPr>
        <w:lastRenderedPageBreak/>
        <w:pict>
          <v:shape id="_x0000_i1025" style="width:467.35pt;height:274.9pt" coordsize="" o:spt="100" adj="0,,0" path="" filled="f" stroked="f">
            <v:stroke joinstyle="miter"/>
            <v:imagedata r:id="rId6" o:title="base_44_6514_32768"/>
            <v:formulas/>
            <v:path o:connecttype="segments"/>
          </v:shape>
        </w:pict>
      </w:r>
    </w:p>
    <w:p w:rsidR="00504698" w:rsidRPr="004C3D35" w:rsidRDefault="00504698">
      <w:pPr>
        <w:pStyle w:val="ConsPlusNormal"/>
        <w:jc w:val="center"/>
      </w:pPr>
    </w:p>
    <w:p w:rsidR="00504698" w:rsidRPr="004C3D35" w:rsidRDefault="00504698">
      <w:pPr>
        <w:pStyle w:val="ConsPlusNormal"/>
        <w:jc w:val="center"/>
      </w:pPr>
      <w:r w:rsidRPr="004C3D35">
        <w:t>1 - испытательная камера; 2 - платформа;</w:t>
      </w:r>
      <w:r w:rsidR="004C3D35">
        <w:t xml:space="preserve"> </w:t>
      </w:r>
      <w:r w:rsidRPr="004C3D35">
        <w:t>3 - держатель образца; 4 - образец; 5 - дымоход;</w:t>
      </w:r>
      <w:r w:rsidR="004C3D35">
        <w:t xml:space="preserve"> </w:t>
      </w:r>
      <w:r w:rsidRPr="004C3D35">
        <w:t>6 - вытяжной зонт; 7 - термопара; 8 - радиационная панель;</w:t>
      </w:r>
      <w:r w:rsidR="004C3D35">
        <w:t xml:space="preserve"> </w:t>
      </w:r>
      <w:r w:rsidRPr="004C3D35">
        <w:t>9 - газовая горелка;</w:t>
      </w:r>
      <w:r w:rsidR="004C3D35">
        <w:t xml:space="preserve"> </w:t>
      </w:r>
      <w:r w:rsidRPr="004C3D35">
        <w:t>10 - дверца со смотровым окном</w:t>
      </w:r>
    </w:p>
    <w:p w:rsidR="00504698" w:rsidRPr="004C3D35" w:rsidRDefault="00504698">
      <w:pPr>
        <w:pStyle w:val="ConsPlusNormal"/>
        <w:jc w:val="center"/>
      </w:pPr>
    </w:p>
    <w:p w:rsidR="00504698" w:rsidRPr="004C3D35" w:rsidRDefault="00504698">
      <w:pPr>
        <w:pStyle w:val="ConsPlusNormal"/>
        <w:jc w:val="center"/>
      </w:pPr>
      <w:bookmarkStart w:id="2" w:name="P103"/>
      <w:bookmarkEnd w:id="2"/>
      <w:r w:rsidRPr="004C3D35">
        <w:t>Рисунок 1. Установка для испытаний</w:t>
      </w:r>
      <w:r w:rsidR="004C3D35">
        <w:t xml:space="preserve"> </w:t>
      </w:r>
      <w:r w:rsidRPr="004C3D35">
        <w:t>на распространение пламени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ind w:firstLine="540"/>
        <w:jc w:val="both"/>
      </w:pPr>
      <w:r w:rsidRPr="004C3D35">
        <w:t>Установка состоит из следующих основных частей: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1) испытательная камера с дымоходом и вытяжным зонтом;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2) источник лучистого теплового потока (радиационная панель);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3) источник зажигания (газовая горелка);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4) держатель образца и устройство для введения держателя в испытательную камеру (платформа).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Установку оборудуют приборами для регистрации и измерения температуры в испытательной камере и дымоходе, величины поверхностной плотности теплового потока, скорости потока воздуха в дымоходе.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7.2. Испытательную камеру и дымоход (рисунок 1) изготавливают из листовой стали толщиной от 1,5 до 2 мм и облицовывают изнутри негорючим теплоизоляционным материалом толщиной не менее 10 мм.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Переднюю стенку камеры оборудуют дверцей со смотровым окном из термостойкого стекла. Размеры смотрового окна должны обеспечивать возможность наблюдения за всей поверхностью образца.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7.3. Дымоход соединяется с камерой через проем. Над дымоходом устанавливают зонт вытяжной вентиляции.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Производительность вытяжного вентилятора должна составлять не менее 0,5 м</w:t>
      </w:r>
      <w:r w:rsidRPr="00D44698">
        <w:rPr>
          <w:vertAlign w:val="superscript"/>
        </w:rPr>
        <w:t>3</w:t>
      </w:r>
      <w:r w:rsidRPr="004C3D35">
        <w:t>/</w:t>
      </w:r>
      <w:proofErr w:type="gramStart"/>
      <w:r w:rsidRPr="004C3D35">
        <w:t>с</w:t>
      </w:r>
      <w:proofErr w:type="gramEnd"/>
      <w:r w:rsidRPr="004C3D35">
        <w:t>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lastRenderedPageBreak/>
        <w:t>7.4. Радиационная панель имеет следующие размеры:</w:t>
      </w:r>
    </w:p>
    <w:p w:rsidR="00504698" w:rsidRPr="004C3D35" w:rsidRDefault="00504698" w:rsidP="004C3D35">
      <w:pPr>
        <w:pStyle w:val="ConsPlusNonformat"/>
        <w:ind w:firstLine="567"/>
        <w:rPr>
          <w:rFonts w:asciiTheme="minorHAnsi" w:hAnsiTheme="minorHAnsi"/>
          <w:sz w:val="22"/>
        </w:rPr>
      </w:pPr>
      <w:r w:rsidRPr="004C3D35">
        <w:rPr>
          <w:rFonts w:asciiTheme="minorHAnsi" w:hAnsiTheme="minorHAnsi"/>
          <w:sz w:val="22"/>
        </w:rPr>
        <w:t xml:space="preserve">длина ..................................... (450 </w:t>
      </w:r>
      <w:r w:rsidR="00D44698">
        <w:rPr>
          <w:rFonts w:asciiTheme="minorHAnsi" w:hAnsiTheme="minorHAnsi"/>
          <w:sz w:val="22"/>
        </w:rPr>
        <w:t>±</w:t>
      </w:r>
      <w:r w:rsidRPr="004C3D35">
        <w:rPr>
          <w:rFonts w:asciiTheme="minorHAnsi" w:hAnsiTheme="minorHAnsi"/>
          <w:sz w:val="22"/>
        </w:rPr>
        <w:t xml:space="preserve"> 10) мм;</w:t>
      </w:r>
    </w:p>
    <w:p w:rsidR="00504698" w:rsidRPr="004C3D35" w:rsidRDefault="00504698" w:rsidP="004C3D35">
      <w:pPr>
        <w:pStyle w:val="ConsPlusNonformat"/>
        <w:ind w:firstLine="567"/>
        <w:rPr>
          <w:rFonts w:asciiTheme="minorHAnsi" w:hAnsiTheme="minorHAnsi"/>
          <w:sz w:val="22"/>
        </w:rPr>
      </w:pPr>
      <w:r w:rsidRPr="004C3D35">
        <w:rPr>
          <w:rFonts w:asciiTheme="minorHAnsi" w:hAnsiTheme="minorHAnsi"/>
          <w:sz w:val="22"/>
        </w:rPr>
        <w:t xml:space="preserve">ширина .................................... (300 </w:t>
      </w:r>
      <w:r w:rsidR="00D44698">
        <w:rPr>
          <w:rFonts w:asciiTheme="minorHAnsi" w:hAnsiTheme="minorHAnsi"/>
          <w:sz w:val="22"/>
        </w:rPr>
        <w:t>±</w:t>
      </w:r>
      <w:r w:rsidRPr="004C3D35">
        <w:rPr>
          <w:rFonts w:asciiTheme="minorHAnsi" w:hAnsiTheme="minorHAnsi"/>
          <w:sz w:val="22"/>
        </w:rPr>
        <w:t xml:space="preserve"> 10) мм.</w:t>
      </w:r>
    </w:p>
    <w:p w:rsidR="00504698" w:rsidRPr="004C3D35" w:rsidRDefault="00504698">
      <w:pPr>
        <w:pStyle w:val="ConsPlusNormal"/>
        <w:ind w:firstLine="540"/>
        <w:jc w:val="both"/>
      </w:pPr>
      <w:r w:rsidRPr="004C3D35">
        <w:t>Электрическая мощность радиационной панели должна составлять не менее 8 кВт.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 xml:space="preserve">Угол наклона радиационной панели (рисунок 2) к горизонтальной плоскости должен составлять (30 </w:t>
      </w:r>
      <w:r w:rsidR="00D44698">
        <w:t>±</w:t>
      </w:r>
      <w:r w:rsidRPr="004C3D35">
        <w:t xml:space="preserve"> 5)°.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4C3D35">
      <w:pPr>
        <w:pStyle w:val="ConsPlusNormal"/>
        <w:jc w:val="center"/>
      </w:pPr>
      <w:r w:rsidRPr="004C3D35">
        <w:rPr>
          <w:position w:val="-211"/>
        </w:rPr>
        <w:pict>
          <v:shape id="_x0000_i1026" style="width:467.35pt;height:222.55pt" coordsize="" o:spt="100" adj="0,,0" path="" filled="f" stroked="f">
            <v:stroke joinstyle="miter"/>
            <v:imagedata r:id="rId7" o:title="base_44_6514_32769"/>
            <v:formulas/>
            <v:path o:connecttype="segments"/>
          </v:shape>
        </w:pict>
      </w:r>
    </w:p>
    <w:p w:rsidR="00504698" w:rsidRPr="004C3D35" w:rsidRDefault="00504698">
      <w:pPr>
        <w:pStyle w:val="ConsPlusNormal"/>
        <w:jc w:val="center"/>
      </w:pPr>
    </w:p>
    <w:p w:rsidR="00504698" w:rsidRPr="004C3D35" w:rsidRDefault="00504698">
      <w:pPr>
        <w:pStyle w:val="ConsPlusNormal"/>
        <w:jc w:val="center"/>
      </w:pPr>
      <w:r w:rsidRPr="004C3D35">
        <w:t>1 - держатель; 2 - образец; 3 - радиационная панель;</w:t>
      </w:r>
      <w:r w:rsidR="004C3D35">
        <w:t xml:space="preserve"> </w:t>
      </w:r>
      <w:r w:rsidRPr="004C3D35">
        <w:t>4 - газовая горелка</w:t>
      </w:r>
    </w:p>
    <w:p w:rsidR="00504698" w:rsidRPr="004C3D35" w:rsidRDefault="00504698">
      <w:pPr>
        <w:pStyle w:val="ConsPlusNormal"/>
        <w:jc w:val="center"/>
      </w:pPr>
    </w:p>
    <w:p w:rsidR="00504698" w:rsidRPr="004C3D35" w:rsidRDefault="00504698">
      <w:pPr>
        <w:pStyle w:val="ConsPlusNormal"/>
        <w:jc w:val="center"/>
      </w:pPr>
      <w:bookmarkStart w:id="3" w:name="P127"/>
      <w:bookmarkEnd w:id="3"/>
      <w:r w:rsidRPr="004C3D35">
        <w:t>Рисунок 2. Схема взаимного расположения</w:t>
      </w:r>
      <w:r w:rsidR="004C3D35">
        <w:t xml:space="preserve"> </w:t>
      </w:r>
      <w:r w:rsidRPr="004C3D35">
        <w:t>радиационной панели, образца и газовой горелки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ind w:firstLine="540"/>
        <w:jc w:val="both"/>
      </w:pPr>
      <w:r w:rsidRPr="004C3D35">
        <w:t xml:space="preserve">7.5. Источником зажигания является газовая горелка с диаметром выходного отверстия (1,0 </w:t>
      </w:r>
      <w:r w:rsidR="00D44698">
        <w:t>±</w:t>
      </w:r>
      <w:r w:rsidRPr="004C3D35">
        <w:t xml:space="preserve"> 0,1) мм, обеспечивающая формирование факела пламени длиной от 40 до 50 мм. Конструкция горелки должна обеспечивать возможность ее вращения относительно горизонтальной оси. При испытании пламя газовой горелки должно касаться точки </w:t>
      </w:r>
      <w:r w:rsidR="00E00217">
        <w:t>«</w:t>
      </w:r>
      <w:r w:rsidRPr="004C3D35">
        <w:t>ноль</w:t>
      </w:r>
      <w:r w:rsidR="00E00217">
        <w:t>»</w:t>
      </w:r>
      <w:r w:rsidRPr="004C3D35">
        <w:t xml:space="preserve"> (</w:t>
      </w:r>
      <w:r w:rsidR="00E00217">
        <w:t>«</w:t>
      </w:r>
      <w:r w:rsidRPr="004C3D35">
        <w:t>0</w:t>
      </w:r>
      <w:r w:rsidR="00E00217">
        <w:t>»</w:t>
      </w:r>
      <w:r w:rsidRPr="004C3D35">
        <w:t>) продольной оси образца (рисунок 2).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 xml:space="preserve">7.6. Платформу для размещения держателя образца изготавливают из жаропрочной или нержавеющей стали. Платформу устанавливают на направляющих в нижней части камеры вдоль ее продольной оси. По всему периметру камеры между ее стенками и краями платформы следует обеспечить зазор общей площадью (0,24 </w:t>
      </w:r>
      <w:r w:rsidR="00D44698">
        <w:t>±</w:t>
      </w:r>
      <w:r w:rsidRPr="004C3D35">
        <w:t xml:space="preserve"> 0,04) м</w:t>
      </w:r>
      <w:proofErr w:type="gramStart"/>
      <w:r w:rsidRPr="00D44698">
        <w:rPr>
          <w:vertAlign w:val="superscript"/>
        </w:rPr>
        <w:t>2</w:t>
      </w:r>
      <w:proofErr w:type="gramEnd"/>
      <w:r w:rsidRPr="004C3D35">
        <w:t>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 xml:space="preserve">Расстояние от экспонируемой поверхности образца до потолка камеры должно составлять (710 </w:t>
      </w:r>
      <w:r w:rsidR="00D44698">
        <w:t>±</w:t>
      </w:r>
      <w:r w:rsidRPr="004C3D35">
        <w:t xml:space="preserve"> 10) мм.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 xml:space="preserve">7.7. Держатель образца изготавливают из жаропрочной стали толщиной (2,0 </w:t>
      </w:r>
      <w:r w:rsidR="00D44698">
        <w:t>±</w:t>
      </w:r>
      <w:r w:rsidRPr="004C3D35">
        <w:t xml:space="preserve"> 0,5) мм и оснащают приспособлениями для крепления образца (рисунок 3).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4C3D35">
      <w:pPr>
        <w:pStyle w:val="ConsPlusNormal"/>
        <w:jc w:val="center"/>
      </w:pPr>
      <w:r w:rsidRPr="004C3D35">
        <w:rPr>
          <w:position w:val="-272"/>
        </w:rPr>
        <w:lastRenderedPageBreak/>
        <w:pict>
          <v:shape id="_x0000_i1027" style="width:364.6pt;height:284.05pt" coordsize="" o:spt="100" adj="0,,0" path="" filled="f" stroked="f">
            <v:stroke joinstyle="miter"/>
            <v:imagedata r:id="rId8" o:title="base_44_6514_32770"/>
            <v:formulas/>
            <v:path o:connecttype="segments"/>
          </v:shape>
        </w:pict>
      </w:r>
    </w:p>
    <w:p w:rsidR="00504698" w:rsidRPr="004C3D35" w:rsidRDefault="00504698">
      <w:pPr>
        <w:pStyle w:val="ConsPlusNormal"/>
        <w:jc w:val="center"/>
      </w:pPr>
    </w:p>
    <w:p w:rsidR="00504698" w:rsidRPr="004C3D35" w:rsidRDefault="00504698">
      <w:pPr>
        <w:pStyle w:val="ConsPlusNormal"/>
        <w:jc w:val="center"/>
      </w:pPr>
      <w:r w:rsidRPr="004C3D35">
        <w:t>1 - держатель; 2 - крепежные элементы</w:t>
      </w:r>
    </w:p>
    <w:p w:rsidR="00504698" w:rsidRPr="004C3D35" w:rsidRDefault="00504698">
      <w:pPr>
        <w:pStyle w:val="ConsPlusNormal"/>
        <w:jc w:val="center"/>
      </w:pPr>
    </w:p>
    <w:p w:rsidR="00504698" w:rsidRPr="004C3D35" w:rsidRDefault="00504698">
      <w:pPr>
        <w:pStyle w:val="ConsPlusNormal"/>
        <w:jc w:val="center"/>
      </w:pPr>
      <w:r w:rsidRPr="004C3D35">
        <w:t>Рисунок 3. Держатель образца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ind w:firstLine="540"/>
        <w:jc w:val="both"/>
      </w:pPr>
      <w:r w:rsidRPr="004C3D35">
        <w:t>7.8. Для измерения температуры в камере (рисунок 1) используют термоэлектрический преобразователь по ГОСТ 3044 с диапазоном измерения от 0 до 600</w:t>
      </w:r>
      <w:proofErr w:type="gramStart"/>
      <w:r w:rsidRPr="004C3D35">
        <w:t xml:space="preserve"> °С</w:t>
      </w:r>
      <w:proofErr w:type="gramEnd"/>
      <w:r w:rsidRPr="004C3D35">
        <w:t xml:space="preserve"> и толщиной не более 1 мм. Для регистрации показаний термоэлектрического преобразователя используют приборы с классом точности не более 0,5.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 xml:space="preserve">7.9. Для измерения ППТП используют </w:t>
      </w:r>
      <w:proofErr w:type="spellStart"/>
      <w:r w:rsidRPr="004C3D35">
        <w:t>водоохлаждаемые</w:t>
      </w:r>
      <w:proofErr w:type="spellEnd"/>
      <w:r w:rsidRPr="004C3D35">
        <w:t xml:space="preserve"> приемники теплового излучения с диапазоном измерения от 1 до 15 кВт/м</w:t>
      </w:r>
      <w:proofErr w:type="gramStart"/>
      <w:r w:rsidRPr="00D44698">
        <w:rPr>
          <w:vertAlign w:val="superscript"/>
        </w:rPr>
        <w:t>2</w:t>
      </w:r>
      <w:proofErr w:type="gramEnd"/>
      <w:r w:rsidRPr="004C3D35">
        <w:t>. Погрешность измерения должна составлять не более 8%.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Для регистрации показаний приемника теплового излучения используют регистрирующий прибор с классом точности не более 0,5.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7.10. Для измерения и регистрации скорости потока воздуха в дымоходе используют анемометры с диапазоном измерения от 1 до 3 м/с и основной относительной погрешностью не более 10%.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jc w:val="center"/>
        <w:outlineLvl w:val="0"/>
        <w:rPr>
          <w:b/>
        </w:rPr>
      </w:pPr>
      <w:bookmarkStart w:id="4" w:name="P146"/>
      <w:bookmarkEnd w:id="4"/>
      <w:r w:rsidRPr="004C3D35">
        <w:rPr>
          <w:b/>
        </w:rPr>
        <w:t>8. Калибровка установки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jc w:val="center"/>
        <w:rPr>
          <w:b/>
          <w:i/>
        </w:rPr>
      </w:pPr>
      <w:r w:rsidRPr="004C3D35">
        <w:rPr>
          <w:b/>
          <w:i/>
        </w:rPr>
        <w:t>8.1. Общие положения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ind w:firstLine="540"/>
        <w:jc w:val="both"/>
      </w:pPr>
      <w:bookmarkStart w:id="5" w:name="P150"/>
      <w:bookmarkEnd w:id="5"/>
      <w:r w:rsidRPr="004C3D35">
        <w:t xml:space="preserve">8.1.1. Цель калибровки состоит в установлении требуемых настоящим стандартом величин ППТП в контрольных точках калибровочного образца (рисунок 4 и таблица 2) и распределении ППТП по поверхности образца при скорости потока воздуха в дымоходе (1,22 </w:t>
      </w:r>
      <w:r w:rsidR="00D44698">
        <w:t>±</w:t>
      </w:r>
      <w:r w:rsidRPr="004C3D35">
        <w:t xml:space="preserve"> 0,12) м/</w:t>
      </w:r>
      <w:proofErr w:type="gramStart"/>
      <w:r w:rsidRPr="004C3D35">
        <w:t>с</w:t>
      </w:r>
      <w:proofErr w:type="gramEnd"/>
      <w:r w:rsidRPr="004C3D35">
        <w:t>.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4C3D35">
      <w:pPr>
        <w:pStyle w:val="ConsPlusNormal"/>
        <w:jc w:val="center"/>
      </w:pPr>
      <w:r w:rsidRPr="004C3D35">
        <w:rPr>
          <w:position w:val="-211"/>
        </w:rPr>
        <w:lastRenderedPageBreak/>
        <w:pict>
          <v:shape id="_x0000_i1028" style="width:351.5pt;height:222.55pt" coordsize="" o:spt="100" adj="0,,0" path="" filled="f" stroked="f">
            <v:stroke joinstyle="miter"/>
            <v:imagedata r:id="rId9" o:title="base_44_6514_32771"/>
            <v:formulas/>
            <v:path o:connecttype="segments"/>
          </v:shape>
        </w:pict>
      </w:r>
    </w:p>
    <w:p w:rsidR="00504698" w:rsidRPr="004C3D35" w:rsidRDefault="00504698">
      <w:pPr>
        <w:pStyle w:val="ConsPlusNormal"/>
        <w:jc w:val="center"/>
      </w:pPr>
    </w:p>
    <w:p w:rsidR="00504698" w:rsidRPr="004C3D35" w:rsidRDefault="00504698">
      <w:pPr>
        <w:pStyle w:val="ConsPlusNormal"/>
        <w:jc w:val="center"/>
      </w:pPr>
      <w:r w:rsidRPr="004C3D35">
        <w:t xml:space="preserve">1 - калибровочный образец; 2 </w:t>
      </w:r>
      <w:r w:rsidR="004C3D35">
        <w:t>–</w:t>
      </w:r>
      <w:r w:rsidRPr="004C3D35">
        <w:t xml:space="preserve"> отверстия</w:t>
      </w:r>
      <w:r w:rsidR="004C3D35">
        <w:t xml:space="preserve"> </w:t>
      </w:r>
      <w:r w:rsidRPr="004C3D35">
        <w:t>для измерителя теплового потока</w:t>
      </w:r>
    </w:p>
    <w:p w:rsidR="00504698" w:rsidRPr="004C3D35" w:rsidRDefault="00504698">
      <w:pPr>
        <w:pStyle w:val="ConsPlusNormal"/>
        <w:jc w:val="center"/>
      </w:pPr>
    </w:p>
    <w:p w:rsidR="00504698" w:rsidRPr="004C3D35" w:rsidRDefault="00504698">
      <w:pPr>
        <w:pStyle w:val="ConsPlusNormal"/>
        <w:jc w:val="center"/>
      </w:pPr>
      <w:bookmarkStart w:id="6" w:name="P157"/>
      <w:bookmarkEnd w:id="6"/>
      <w:r w:rsidRPr="004C3D35">
        <w:t>Рисунок 4. Калибровочный образец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jc w:val="right"/>
      </w:pPr>
      <w:bookmarkStart w:id="7" w:name="P159"/>
      <w:bookmarkEnd w:id="7"/>
      <w:r w:rsidRPr="004C3D35">
        <w:t>Таблица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C3D35" w:rsidTr="004C3D35">
        <w:tc>
          <w:tcPr>
            <w:tcW w:w="4785" w:type="dxa"/>
          </w:tcPr>
          <w:p w:rsidR="004C3D35" w:rsidRDefault="004C3D35" w:rsidP="004C3D35">
            <w:pPr>
              <w:pStyle w:val="ConsPlusNormal"/>
              <w:jc w:val="center"/>
            </w:pPr>
            <w:r w:rsidRPr="004C3D35">
              <w:t>Контрольная точка</w:t>
            </w:r>
          </w:p>
        </w:tc>
        <w:tc>
          <w:tcPr>
            <w:tcW w:w="4786" w:type="dxa"/>
          </w:tcPr>
          <w:p w:rsidR="004C3D35" w:rsidRDefault="004C3D35" w:rsidP="004C3D35">
            <w:pPr>
              <w:pStyle w:val="ConsPlusNormal"/>
              <w:jc w:val="center"/>
            </w:pPr>
            <w:r w:rsidRPr="004C3D35">
              <w:t>ППТП, кВт/м</w:t>
            </w:r>
            <w:proofErr w:type="gramStart"/>
            <w:r w:rsidRPr="004C3D35">
              <w:rPr>
                <w:vertAlign w:val="superscript"/>
              </w:rPr>
              <w:t>2</w:t>
            </w:r>
            <w:proofErr w:type="gramEnd"/>
          </w:p>
        </w:tc>
      </w:tr>
      <w:tr w:rsidR="004C3D35" w:rsidTr="004C3D35">
        <w:tc>
          <w:tcPr>
            <w:tcW w:w="4785" w:type="dxa"/>
          </w:tcPr>
          <w:p w:rsidR="004C3D35" w:rsidRDefault="004C3D35" w:rsidP="004C3D35">
            <w:pPr>
              <w:pStyle w:val="ConsPlusNormal"/>
              <w:jc w:val="center"/>
            </w:pPr>
            <w:r w:rsidRPr="004C3D35">
              <w:t>L</w:t>
            </w:r>
            <w:r w:rsidRPr="004C3D35">
              <w:rPr>
                <w:vertAlign w:val="subscript"/>
              </w:rPr>
              <w:t>1</w:t>
            </w:r>
          </w:p>
        </w:tc>
        <w:tc>
          <w:tcPr>
            <w:tcW w:w="4786" w:type="dxa"/>
          </w:tcPr>
          <w:p w:rsidR="004C3D35" w:rsidRDefault="004C3D35" w:rsidP="004C3D35">
            <w:pPr>
              <w:pStyle w:val="ConsPlusNormal"/>
              <w:jc w:val="center"/>
            </w:pPr>
            <w:r w:rsidRPr="004C3D35">
              <w:t xml:space="preserve">9,1 </w:t>
            </w:r>
            <w:r>
              <w:t>±</w:t>
            </w:r>
            <w:r w:rsidRPr="004C3D35">
              <w:t xml:space="preserve"> 0,8</w:t>
            </w:r>
          </w:p>
        </w:tc>
      </w:tr>
      <w:tr w:rsidR="004C3D35" w:rsidTr="004C3D35">
        <w:tc>
          <w:tcPr>
            <w:tcW w:w="4785" w:type="dxa"/>
          </w:tcPr>
          <w:p w:rsidR="004C3D35" w:rsidRDefault="004C3D35" w:rsidP="004C3D35">
            <w:pPr>
              <w:pStyle w:val="ConsPlusNormal"/>
              <w:jc w:val="center"/>
            </w:pPr>
            <w:r w:rsidRPr="004C3D35">
              <w:t>L</w:t>
            </w:r>
            <w:r>
              <w:rPr>
                <w:vertAlign w:val="subscript"/>
              </w:rPr>
              <w:t>2</w:t>
            </w:r>
          </w:p>
        </w:tc>
        <w:tc>
          <w:tcPr>
            <w:tcW w:w="4786" w:type="dxa"/>
          </w:tcPr>
          <w:p w:rsidR="004C3D35" w:rsidRDefault="004C3D35" w:rsidP="004C3D35">
            <w:pPr>
              <w:pStyle w:val="ConsPlusNormal"/>
              <w:jc w:val="center"/>
            </w:pPr>
            <w:r w:rsidRPr="004C3D35">
              <w:t xml:space="preserve">5,0 </w:t>
            </w:r>
            <w:r>
              <w:t>±</w:t>
            </w:r>
            <w:r w:rsidRPr="004C3D35">
              <w:t xml:space="preserve"> 0,4</w:t>
            </w:r>
          </w:p>
        </w:tc>
      </w:tr>
      <w:tr w:rsidR="004C3D35" w:rsidTr="004C3D35">
        <w:tc>
          <w:tcPr>
            <w:tcW w:w="4785" w:type="dxa"/>
          </w:tcPr>
          <w:p w:rsidR="004C3D35" w:rsidRDefault="004C3D35" w:rsidP="004C3D35">
            <w:pPr>
              <w:pStyle w:val="ConsPlusNormal"/>
              <w:jc w:val="center"/>
            </w:pPr>
            <w:r w:rsidRPr="004C3D35">
              <w:t>L</w:t>
            </w:r>
            <w:r>
              <w:rPr>
                <w:vertAlign w:val="subscript"/>
              </w:rPr>
              <w:t>3</w:t>
            </w:r>
          </w:p>
        </w:tc>
        <w:tc>
          <w:tcPr>
            <w:tcW w:w="4786" w:type="dxa"/>
          </w:tcPr>
          <w:p w:rsidR="004C3D35" w:rsidRDefault="004C3D35" w:rsidP="004C3D35">
            <w:pPr>
              <w:pStyle w:val="ConsPlusNormal"/>
              <w:jc w:val="center"/>
            </w:pPr>
            <w:r w:rsidRPr="004C3D35">
              <w:t xml:space="preserve">2,4 </w:t>
            </w:r>
            <w:r>
              <w:t>±</w:t>
            </w:r>
            <w:r w:rsidRPr="004C3D35">
              <w:t xml:space="preserve"> 0,2</w:t>
            </w:r>
          </w:p>
        </w:tc>
      </w:tr>
    </w:tbl>
    <w:p w:rsidR="00504698" w:rsidRPr="004C3D35" w:rsidRDefault="00504698" w:rsidP="004C3D35">
      <w:pPr>
        <w:pStyle w:val="ConsPlusNormal"/>
        <w:jc w:val="both"/>
      </w:pPr>
    </w:p>
    <w:p w:rsidR="00504698" w:rsidRPr="004C3D35" w:rsidRDefault="00504698">
      <w:pPr>
        <w:pStyle w:val="ConsPlusNormal"/>
        <w:ind w:firstLine="540"/>
        <w:jc w:val="both"/>
      </w:pPr>
      <w:r w:rsidRPr="004C3D35">
        <w:t>8.1.2. Калибровку проводят на образце, изготовленном из асбестоцементных листов по ГОСТ 18124, толщиной от 10 до 12 мм (рисунок 4).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8.1.3. Калибровку проводят при метрологической аттестации установки или замене нагревательного элемента радиационной панели.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jc w:val="center"/>
        <w:rPr>
          <w:b/>
          <w:i/>
        </w:rPr>
      </w:pPr>
      <w:r w:rsidRPr="004C3D35">
        <w:rPr>
          <w:b/>
          <w:i/>
        </w:rPr>
        <w:t>8.2. Порядок проведения калибровки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ind w:firstLine="540"/>
        <w:jc w:val="both"/>
      </w:pPr>
      <w:bookmarkStart w:id="8" w:name="P177"/>
      <w:bookmarkEnd w:id="8"/>
      <w:r w:rsidRPr="004C3D35">
        <w:t>8.2.1. Устанавливают в дымоходе скорость потока воздуха от 1,1 до 1,34 м/</w:t>
      </w:r>
      <w:proofErr w:type="gramStart"/>
      <w:r w:rsidRPr="004C3D35">
        <w:t>с</w:t>
      </w:r>
      <w:proofErr w:type="gramEnd"/>
      <w:r w:rsidRPr="004C3D35">
        <w:t xml:space="preserve">. </w:t>
      </w:r>
      <w:proofErr w:type="gramStart"/>
      <w:r w:rsidRPr="004C3D35">
        <w:t>Для</w:t>
      </w:r>
      <w:proofErr w:type="gramEnd"/>
      <w:r w:rsidRPr="004C3D35">
        <w:t xml:space="preserve"> этого выполняют следующее: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 xml:space="preserve">- помещают в дымоход анемометр так, чтобы его входное отверстие располагалось по оси дымохода на расстоянии (70 </w:t>
      </w:r>
      <w:r w:rsidR="00D44698">
        <w:t>±</w:t>
      </w:r>
      <w:r w:rsidRPr="004C3D35">
        <w:t xml:space="preserve"> 10) мм от верхнего края дымохода. Анемометр следует жестко фиксировать в установленном положении;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- закрепляют калибровочный образец в держателе образца и устанавливают его на платформу, вводят платформу в камеру и закрывают дверцу;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- измеряют скорость потока воздуха и, при необходимости, путем регулирования расхода воздуха в вентиляционной системе устанавливают требуемую скорость потока воздуха в дымоходе в соответствии с 8.1.1, после чего анемометр удаляют из дымохода.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При этом радиационную панель и газовую горелку не включают.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bookmarkStart w:id="9" w:name="P182"/>
      <w:bookmarkEnd w:id="9"/>
      <w:r w:rsidRPr="004C3D35">
        <w:t>8.2.2. После проведения работ по 8.2.1 устанавливают величины ППТП в соответствии с таблицей 2. С этой целью выполняют следующее: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lastRenderedPageBreak/>
        <w:t>- включают радиационную панель и прогревают камеру до достижения теплового баланса. Тепловой баланс считают достигнутым, если температура в камере (рисунок 1) изменяется не более чем на 7</w:t>
      </w:r>
      <w:proofErr w:type="gramStart"/>
      <w:r w:rsidRPr="004C3D35">
        <w:t xml:space="preserve"> °С</w:t>
      </w:r>
      <w:proofErr w:type="gramEnd"/>
      <w:r w:rsidRPr="004C3D35">
        <w:t xml:space="preserve"> в течение 10 мин;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 xml:space="preserve">- устанавливают в отверстие калибровочного образца в контрольной точке </w:t>
      </w:r>
      <w:r w:rsidR="00F12EEB" w:rsidRPr="004C3D35">
        <w:rPr>
          <w:position w:val="-8"/>
        </w:rPr>
        <w:pict>
          <v:shape id="_x0000_i1029" style="width:15.7pt;height:19.65pt" coordsize="" o:spt="100" adj="0,,0" path="" filled="f" stroked="f">
            <v:stroke joinstyle="miter"/>
            <v:imagedata r:id="rId10" o:title="base_44_6514_32772"/>
            <v:formulas/>
            <v:path o:connecttype="segments"/>
          </v:shape>
        </w:pict>
      </w:r>
      <w:r w:rsidRPr="004C3D35">
        <w:t xml:space="preserve"> (рисунок 4) приемник теплового излучения так, чтобы поверхность чувствительного элемента совпадала с верхней плоскостью калибровочного образца. Показания приемника теплового излучения регистрируют через (30 </w:t>
      </w:r>
      <w:r w:rsidR="00D44698">
        <w:t>±</w:t>
      </w:r>
      <w:r w:rsidRPr="004C3D35">
        <w:t xml:space="preserve"> 10) </w:t>
      </w:r>
      <w:proofErr w:type="gramStart"/>
      <w:r w:rsidRPr="004C3D35">
        <w:t>с</w:t>
      </w:r>
      <w:proofErr w:type="gramEnd"/>
      <w:r w:rsidRPr="004C3D35">
        <w:t>;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- при несоответствии измеренной величины ППТП требованиям, указанным в таблице 2, регулируют мощность радиационной панели для достижения теплового баланса и повторяют измерения ППТП;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 xml:space="preserve">- описанные выше операции повторяют до достижения величины ППТП, требуемой настоящим стандартом для контрольной точки </w:t>
      </w:r>
      <w:r w:rsidR="00F12EEB" w:rsidRPr="004C3D35">
        <w:rPr>
          <w:position w:val="-8"/>
        </w:rPr>
        <w:pict>
          <v:shape id="_x0000_i1030" style="width:15.7pt;height:19.65pt" coordsize="" o:spt="100" adj="0,,0" path="" filled="f" stroked="f">
            <v:stroke joinstyle="miter"/>
            <v:imagedata r:id="rId10" o:title="base_44_6514_32773"/>
            <v:formulas/>
            <v:path o:connecttype="segments"/>
          </v:shape>
        </w:pict>
      </w:r>
      <w:r w:rsidRPr="004C3D35">
        <w:t>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 xml:space="preserve">8.2.3. Операции по 8.2.2 повторяют для контрольных точек </w:t>
      </w:r>
      <w:r w:rsidR="00F12EEB" w:rsidRPr="004C3D35">
        <w:rPr>
          <w:position w:val="-8"/>
        </w:rPr>
        <w:pict>
          <v:shape id="_x0000_i1031" style="width:13.75pt;height:19.65pt" coordsize="" o:spt="100" adj="0,,0" path="" filled="f" stroked="f">
            <v:stroke joinstyle="miter"/>
            <v:imagedata r:id="rId11" o:title="base_44_6514_32774"/>
            <v:formulas/>
            <v:path o:connecttype="segments"/>
          </v:shape>
        </w:pict>
      </w:r>
      <w:r w:rsidRPr="004C3D35">
        <w:t xml:space="preserve"> и </w:t>
      </w:r>
      <w:r w:rsidR="00F12EEB" w:rsidRPr="004C3D35">
        <w:rPr>
          <w:position w:val="-8"/>
        </w:rPr>
        <w:pict>
          <v:shape id="_x0000_i1032" style="width:15.7pt;height:19.65pt" coordsize="" o:spt="100" adj="0,,0" path="" filled="f" stroked="f">
            <v:stroke joinstyle="miter"/>
            <v:imagedata r:id="rId12" o:title="base_44_6514_32775"/>
            <v:formulas/>
            <v:path o:connecttype="segments"/>
          </v:shape>
        </w:pict>
      </w:r>
      <w:r w:rsidRPr="004C3D35">
        <w:t xml:space="preserve"> (рисунок 4). При соответствии результатов измерений требованиям таблицы 2 проводят измерения ППТП в точках, расположенных на расстоянии 100, 300, 500, 700, 800 и 900 мм от точки </w:t>
      </w:r>
      <w:r w:rsidR="00E00217">
        <w:t>«</w:t>
      </w:r>
      <w:r w:rsidRPr="004C3D35">
        <w:t>0</w:t>
      </w:r>
      <w:r w:rsidR="00E00217">
        <w:t>»</w:t>
      </w:r>
      <w:r w:rsidRPr="004C3D35">
        <w:t>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По результатам калибровки строят график распределения величин ППТП по длине образца.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jc w:val="center"/>
        <w:outlineLvl w:val="0"/>
        <w:rPr>
          <w:b/>
        </w:rPr>
      </w:pPr>
      <w:r w:rsidRPr="004C3D35">
        <w:rPr>
          <w:b/>
        </w:rPr>
        <w:t>9. Проведение испытания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ind w:firstLine="540"/>
        <w:jc w:val="both"/>
      </w:pPr>
      <w:r w:rsidRPr="004C3D35">
        <w:t>9.1. Подготовку установки к испытаниям проводят в соответствии с 8.2.1 и 8.2.2. После этого открывают дверцу камеры, зажигают газовую горелку и располагают ее так, чтобы расстояние между факелом пламени и экспонируемой поверхностью составляло не менее 50 мм.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9.2. Устанавливают образец в держатель, фиксируют его положение с помощью приспособлений для крепления, помещают держатель с образцом на платформу и вводят в камеру.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 xml:space="preserve">9.3. Закрывают дверцу камеры и включают секундомер. После выдержки в течение 2 мин приводят пламя горелки в контакт с образцом в точке </w:t>
      </w:r>
      <w:r w:rsidR="00E00217">
        <w:t>«</w:t>
      </w:r>
      <w:r w:rsidRPr="004C3D35">
        <w:t>0</w:t>
      </w:r>
      <w:r w:rsidR="00E00217">
        <w:t>»</w:t>
      </w:r>
      <w:r w:rsidRPr="004C3D35">
        <w:t xml:space="preserve">, расположенной по центральной оси образца. Оставляют факел пламени в этом положении в течение (10 </w:t>
      </w:r>
      <w:r w:rsidR="00D44698">
        <w:t>±</w:t>
      </w:r>
      <w:r w:rsidRPr="004C3D35">
        <w:t xml:space="preserve"> 0,2) мин. По истечении этого времени возвращают горелку в исходное положение.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9.4. При отсутствии воспламенения образца в течение 10 мин испытание считают законченным.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В случае воспламенения образца испытание заканчивают при прекращении пламенного горения или по истечении 30 мин от начала воздействия на образец газовой горелки путем принудительного гашения.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В процессе испытания фиксируют время воспламенения и продолжительность пламенного горения.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9.5. После окончания испытания открывают дверцу камеры, выдвигают платформу, извлекают образец.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 xml:space="preserve">Испытание каждого последующего образца проводят после охлаждения держателя образца до комнатной температуры и проверки соответствия ППТП в точке </w:t>
      </w:r>
      <w:r w:rsidR="00F12EEB" w:rsidRPr="004C3D35">
        <w:rPr>
          <w:position w:val="-8"/>
        </w:rPr>
        <w:pict>
          <v:shape id="_x0000_i1033" style="width:15.7pt;height:19.65pt" coordsize="" o:spt="100" adj="0,,0" path="" filled="f" stroked="f">
            <v:stroke joinstyle="miter"/>
            <v:imagedata r:id="rId10" o:title="base_44_6514_32776"/>
            <v:formulas/>
            <v:path o:connecttype="segments"/>
          </v:shape>
        </w:pict>
      </w:r>
      <w:r w:rsidRPr="004C3D35">
        <w:t xml:space="preserve"> требованиям, указанным в таблице 2.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lastRenderedPageBreak/>
        <w:t>9.6. Измеряют длину поврежденной части образца по его продольной оси для каждого из пяти образцов. Измерения проводят с точностью до 1 мм.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 xml:space="preserve">Повреждением считается выгорание и обугливание материала образца в результате распространения пламенного горения по его поверхности. </w:t>
      </w:r>
      <w:proofErr w:type="gramStart"/>
      <w:r w:rsidRPr="004C3D35">
        <w:t>Оплавление, коробление, спекание, вспучивание, усадка, изменение цвета, формы, нарушение целостности образца (разрывы, сколы поверхности и т.п.) повреждением не являются.</w:t>
      </w:r>
      <w:proofErr w:type="gramEnd"/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jc w:val="center"/>
        <w:outlineLvl w:val="0"/>
        <w:rPr>
          <w:b/>
        </w:rPr>
      </w:pPr>
      <w:r w:rsidRPr="004C3D35">
        <w:rPr>
          <w:b/>
        </w:rPr>
        <w:t>10. Обработка результатов испытания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ind w:firstLine="540"/>
        <w:jc w:val="both"/>
      </w:pPr>
      <w:r w:rsidRPr="004C3D35">
        <w:t>10.1. Длину распространения пламени определяют как среднее арифметическое значение по длине поврежденной части пяти образцов.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10.2. Величину КППТП устанавливают на основании результатов измерения длины распространения пламени (10.1) по графику распределения ППТП по поверхности образца, полученному при калибровке установки.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10.3. При отсутствии воспламенения образцов или длине распространения пламени менее 100 мм следует считать, что КППТП материала составляет более 11 кВт/м</w:t>
      </w:r>
      <w:proofErr w:type="gramStart"/>
      <w:r w:rsidRPr="00D44698">
        <w:rPr>
          <w:vertAlign w:val="superscript"/>
        </w:rPr>
        <w:t>2</w:t>
      </w:r>
      <w:proofErr w:type="gramEnd"/>
      <w:r w:rsidRPr="004C3D35">
        <w:t>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10.4. В случае принудительного гашения образца по истечении 30 мин испытания величину ППТП определяют по результатам измерения длины распространения пламени на момент гашения и условно принимают эту величину равной критической.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10.5. Для материалов с анизотропными свойствами при классификации используют наименьшую из полученных величин КППТП.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jc w:val="center"/>
        <w:outlineLvl w:val="0"/>
        <w:rPr>
          <w:b/>
        </w:rPr>
      </w:pPr>
      <w:r w:rsidRPr="004C3D35">
        <w:rPr>
          <w:b/>
        </w:rPr>
        <w:t>11. Протокол испытания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ind w:firstLine="540"/>
        <w:jc w:val="both"/>
      </w:pPr>
      <w:r w:rsidRPr="004C3D35">
        <w:t>В протоколе испытания приводят следующие данные: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- наименование испытательной лаборатории;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- наименование заказчика;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- наименование изготовителя (поставщика) материала;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- описание материала или изделия, техническую документацию, а также торговую марку, состав, толщину, плотность, массу и способ изготовления образцов, характеристику экспонируемой поверхности, для слоистых материалов - толщину каждого слоя и характеристику материала каждого слоя;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- параметры распространения пламени (длина распространения пламени, КППТП), а также время воспламенения образца;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- вывод о группе распространения материала с указанием величины КППТП;</w:t>
      </w:r>
    </w:p>
    <w:p w:rsidR="00504698" w:rsidRPr="004C3D35" w:rsidRDefault="00504698">
      <w:pPr>
        <w:pStyle w:val="ConsPlusNormal"/>
        <w:spacing w:before="220"/>
        <w:ind w:firstLine="540"/>
        <w:jc w:val="both"/>
      </w:pPr>
      <w:r w:rsidRPr="004C3D35">
        <w:t>- дополнительные наблюдения при испытании образца: выгорание, обугливание, плавление, вспучивание, усадка, расслоение, растрескивание, а также другие особые наблюдения при распространении пламени.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jc w:val="center"/>
        <w:outlineLvl w:val="0"/>
        <w:rPr>
          <w:b/>
        </w:rPr>
      </w:pPr>
      <w:r w:rsidRPr="004C3D35">
        <w:rPr>
          <w:b/>
        </w:rPr>
        <w:t>12. Требования безопасности</w:t>
      </w:r>
    </w:p>
    <w:p w:rsidR="00504698" w:rsidRPr="004C3D35" w:rsidRDefault="00504698">
      <w:pPr>
        <w:pStyle w:val="ConsPlusNormal"/>
        <w:ind w:firstLine="540"/>
        <w:jc w:val="both"/>
      </w:pPr>
    </w:p>
    <w:p w:rsidR="00504698" w:rsidRPr="004C3D35" w:rsidRDefault="00504698">
      <w:pPr>
        <w:pStyle w:val="ConsPlusNormal"/>
        <w:ind w:firstLine="540"/>
        <w:jc w:val="both"/>
      </w:pPr>
      <w:r w:rsidRPr="004C3D35">
        <w:t>Помещение, в котором проводят испытания, должно быть оборудовано приточно-вытяжной вентиляцией. Рабочее место оператора должно удовлетворять требованиям электробезопасности по ГОСТ 12.1.019 и санитарно-гигиеническим требованиям по ГОСТ 12.1.005.</w:t>
      </w:r>
    </w:p>
    <w:sectPr w:rsidR="00504698" w:rsidRPr="004C3D35" w:rsidSect="00330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98"/>
    <w:rsid w:val="004C3D35"/>
    <w:rsid w:val="00504698"/>
    <w:rsid w:val="00D44698"/>
    <w:rsid w:val="00D74437"/>
    <w:rsid w:val="00E00217"/>
    <w:rsid w:val="00F1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46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046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046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046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046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4C3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12E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46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046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046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046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046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4C3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12E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wmf"/><Relationship Id="rId5" Type="http://schemas.openxmlformats.org/officeDocument/2006/relationships/hyperlink" Target="https://fireman.club/inseklodepia/vniipo-mchs-rossii/" TargetMode="External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2380</Words>
  <Characters>13570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2017-12-13T10:22:00Z</dcterms:created>
  <dcterms:modified xsi:type="dcterms:W3CDTF">2018-01-07T16:58:00Z</dcterms:modified>
</cp:coreProperties>
</file>