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FF" w:rsidRPr="00CC632B" w:rsidRDefault="003024FF" w:rsidP="00E47011">
      <w:pPr>
        <w:pStyle w:val="4"/>
        <w:jc w:val="center"/>
      </w:pPr>
      <w:r w:rsidRPr="00CC632B">
        <w:t>МИНИСТЕРСТВО РОССИЙСКОЙ ФЕДЕРАЦИИ</w:t>
      </w:r>
      <w:r w:rsidRPr="00CC632B">
        <w:br/>
        <w:t>ПО ДЕЛАМ ГРАЖДАНСКОЙ ОБОРОНЫ, ЧРЕЗВЫЧАЙНЫМ СИТУАЦИЯМ И ЛИКВИДАЦИИ ПОСЛЕДСТВИЙ СТИХИЙНЫХ БЕДСТВИЙ</w:t>
      </w:r>
    </w:p>
    <w:p w:rsidR="003024FF" w:rsidRPr="00CC632B" w:rsidRDefault="003024FF" w:rsidP="00E47011">
      <w:pPr>
        <w:pStyle w:val="4"/>
        <w:jc w:val="center"/>
      </w:pPr>
      <w:r w:rsidRPr="00CC632B">
        <w:t>ГОСУДАРСТВЕННАЯ ПРОТИВОПОЖАРНАЯ СЛУЖБА</w:t>
      </w:r>
    </w:p>
    <w:p w:rsidR="003024FF" w:rsidRPr="00CC632B" w:rsidRDefault="003024FF" w:rsidP="00E47011">
      <w:pPr>
        <w:pStyle w:val="4"/>
        <w:jc w:val="center"/>
      </w:pPr>
      <w:r w:rsidRPr="00CC632B">
        <w:t>НОРМЫ ПОЖАРНОЙ БЕЗОПАСНОСТИ</w:t>
      </w:r>
    </w:p>
    <w:p w:rsidR="003024FF" w:rsidRPr="00CC632B" w:rsidRDefault="003024FF" w:rsidP="00E47011">
      <w:pPr>
        <w:pStyle w:val="npb"/>
        <w:jc w:val="center"/>
      </w:pPr>
      <w:r w:rsidRPr="00CC632B">
        <w:t>МАТЕРИАЛЫ ТЕКСТИЛЬНЫ</w:t>
      </w:r>
      <w:bookmarkStart w:id="0" w:name="_GoBack"/>
      <w:bookmarkEnd w:id="0"/>
      <w:r w:rsidRPr="00CC632B">
        <w:t>Е. ПОСТЕЛЬНЫЕ ПРИНАДЛЕЖНОСТИ.</w:t>
      </w:r>
      <w:r w:rsidRPr="00CC632B">
        <w:br/>
        <w:t xml:space="preserve">МЯГКАЯ МЕБЕЛЬ. ШТОРЫ. ЗАНАВЕСИ. </w:t>
      </w:r>
      <w:r w:rsidRPr="00CC632B">
        <w:br/>
        <w:t xml:space="preserve">МЕТОДЫ ИСПЫТАНИЙ НА </w:t>
      </w:r>
      <w:hyperlink r:id="rId5" w:history="1">
        <w:r w:rsidRPr="00CC632B">
          <w:rPr>
            <w:rStyle w:val="a5"/>
            <w:color w:val="auto"/>
            <w:u w:val="none"/>
          </w:rPr>
          <w:t>ВОСПЛАМЕНЯЕМОСТЬ</w:t>
        </w:r>
      </w:hyperlink>
    </w:p>
    <w:p w:rsidR="003024FF" w:rsidRPr="00CC632B" w:rsidRDefault="003024FF" w:rsidP="00E47011">
      <w:pPr>
        <w:pStyle w:val="npb"/>
        <w:jc w:val="center"/>
      </w:pPr>
      <w:r w:rsidRPr="00CC632B">
        <w:t>НПБ 257-2002</w:t>
      </w:r>
    </w:p>
    <w:p w:rsidR="003024FF" w:rsidRPr="00CC632B" w:rsidRDefault="003024FF" w:rsidP="00E47011">
      <w:pPr>
        <w:pStyle w:val="4"/>
        <w:jc w:val="center"/>
        <w:rPr>
          <w:lang w:val="en-US"/>
        </w:rPr>
      </w:pPr>
      <w:r w:rsidRPr="00CC632B">
        <w:t xml:space="preserve">ТЕХТILE MATERIALS. BEDDING ARTICLES. </w:t>
      </w:r>
      <w:r w:rsidRPr="00CC632B">
        <w:rPr>
          <w:lang w:val="en-US"/>
        </w:rPr>
        <w:t>UPHOLSTERED FURNITURE. BLINDS. CURTAINS. FLAMMABILITY TEST METHODS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Разработаны Федеральным государственным учреждением </w:t>
      </w:r>
      <w:r w:rsidR="007F3D9E" w:rsidRPr="00CC632B">
        <w:t>«</w:t>
      </w:r>
      <w:r w:rsidRPr="00CC632B">
        <w:t xml:space="preserve">Всероссийский ордена </w:t>
      </w:r>
      <w:r w:rsidR="007F3D9E" w:rsidRPr="00CC632B">
        <w:t>«</w:t>
      </w:r>
      <w:r w:rsidRPr="00CC632B">
        <w:t>Знак Почета</w:t>
      </w:r>
      <w:r w:rsidR="007F3D9E" w:rsidRPr="00CC632B">
        <w:t>»</w:t>
      </w:r>
      <w:r w:rsidRPr="00CC632B">
        <w:t xml:space="preserve"> научно-исследовательский институт противопожарной обороны</w:t>
      </w:r>
      <w:r w:rsidR="007F3D9E" w:rsidRPr="00CC632B">
        <w:t>»</w:t>
      </w:r>
      <w:r w:rsidRPr="00CC632B">
        <w:t xml:space="preserve"> (ФГУ ВНИИПО МЧС России) (И.А. Болодьян, Н.В. Смирнов, Н.И. Константинова, Н.А. Терёшина).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Внесены и подготовлены к утверждению отделом организации государственного пожарного надзора Главного управления Государственной противопожарной службы (ГУГПС МЧС России) (В.Е. Татаров, А.Е. Чистов).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Утверждены приказом ГУГПС МЧС России от 30 декабря </w:t>
      </w:r>
      <w:smartTag w:uri="urn:schemas-microsoft-com:office:smarttags" w:element="metricconverter">
        <w:smartTagPr>
          <w:attr w:name="ProductID" w:val="2002 г"/>
        </w:smartTagPr>
        <w:r w:rsidRPr="00CC632B">
          <w:t>2002 г</w:t>
        </w:r>
      </w:smartTag>
      <w:r w:rsidRPr="00CC632B">
        <w:t>. № 57.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Дата введения в действие 1 января </w:t>
      </w:r>
      <w:smartTag w:uri="urn:schemas-microsoft-com:office:smarttags" w:element="metricconverter">
        <w:smartTagPr>
          <w:attr w:name="ProductID" w:val="2003 г"/>
        </w:smartTagPr>
        <w:r w:rsidRPr="00CC632B">
          <w:t>2003 г</w:t>
        </w:r>
      </w:smartTag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Вводятся впервые.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Настоящий нормативный документ не может быть полностью или частично воспроизведен, тиражирован и распространен в качестве официального издания без разрешения ГУГПС МЧС России.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1. ОБЛАСТЬ ПРИМЕНЕНИЯ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1.1. Настоящие нормы устанавливают методы определения воспламеняемости от малокалорийных источников зажигания материалов, используемых для изготовления постельных принадлежностей, элементов мягкой мебели, штор и занавесей.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1.2. Нормы применяются при определении воспламеняемости указанных материалов и их сертификации в области пожарной безопасности.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2. НОРМАТИВНЫЕ ССЫЛКИ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2.1. ГОСТ 17037-85 Изделия швейные и трикотажные. Термины и определения.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2.2. ГОСТ 20448-90 Газы углеводородные сжиженные топливные для коммунально-бытового потребления. Технические условия.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>2.3. ГОСТ 20566-75 Ткани и штучные изделия текстильные. Правила приемки и метод отбора проб.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2.4. ГОСТ 12.1.005-85 Система стандартов безопасности труда. Общие санитарно-гигиенические требования к воздуху рабочей зоны.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2.5. ГОСТ 8.423-81 ГСИ. Секундомеры механические. Методы и средства поверки.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2.6. ГОСТ Р 50810-95 Пожарная безопасность текстильных материалов. Ткани декоративные. Метод испытания на воспламеняемость и классификация.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2.7. ИСО 139-73 Материалы текстильные. Стандартные атмосферные условия для кондиционирования и испытаний.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2.8. СТ СЭВ 383-87 Пожарная безопасность в строительстве. Термины и определения.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2.9. НПБ 251-98 Огнезащитные составы и вещества для древесины и материалов на ее основе. Общие требования. Методы испытаний.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3. ТЕРМИНЫ И ОПРЕДЕЛЕНИЯ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3.1. Воспламеняемость (по СТ СЭВ 383).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3.2. Горение (по СТ СЭВ 383).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3.3. Пламенное горение (по СТ СЭВ 383).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3.4. Тление (по СТ СЭВ 383).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3.5. Устойчивое горение (по ГОСТ Р 50810-95).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3.6. Остаточное тление (по ГОСТ Р 50810-95).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3.7. Постельные принадлежности – предметы, укладываемые на матрас или постель и обеспечивающие потребителю комфорт и тепло, а также используемые для декоративных целей.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3.8. Мягкая мебель – мебель с мягкими элементами, состоящими из обивочного, прокладочного и набивочного материалов.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3.9. Огнезащитные составы и вещества (ОЗСВ) – составы, вещества (смесь веществ), обладающие требуемой огнезащитной эффективностью и специально предназначенные для огнезащитной обработки различных текстильных материалов и изделий из них.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3.10. Объект огнезащиты – текстильный материал или изделие из него, подвергаемое обработке ОЗСВ в целях снижения их пожарной опасности.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3.11. Огнезащитная обработка – нанесение огнезащитного состава на поверхность и (или) введение в объем объекта огнезащиты.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3.12. Техническая документация на средства огнезащиты (ТД) (по НПБ 251-98).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>3.13. Рабочий состав (по НПБ 251-98).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3.14. Жизнеспособность рабочего состава (по НПБ 251-98).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4. ОПРЕДЕЛЕНИЕ ВОСПЛАМЕНЯЕМОСТИ ПОСТЕЛЬНЫХ ПРИНАДЛЕЖНОСТЕЙ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4.1. Испытаниям подвергают наматрасники, чехлы для наматрасников, подушки, одеяла (в том числе стеганые), покрывала, наволочки, простыни, пододеяльники и другие аналогичные изделия.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4.2. Метод испытаний постельных принадлежностей на воспламеняемость заключается в воздействии на поверхность испытываемого образца тлеющей сигареты и пламени газовой горелки. По результатам испытаний определяют наличие тления или горения поверхности образца, а также степень повреждений, вызванных воздействием источников зажигания.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4.3. Средства испытаний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4.3.1. Средства испытаний включают в себя установку для определения воспламеняемости постельных принадлежностей, состоящую из испытательного стенда (рисунок 1), на который помещают образец, источника зажигания и средств измерения.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drawing>
          <wp:inline distT="0" distB="0" distL="0" distR="0">
            <wp:extent cx="2724150" cy="4714875"/>
            <wp:effectExtent l="0" t="0" r="0" b="0"/>
            <wp:docPr id="1" name="Рисунок 1" descr="wpe2E9.jpg (2672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e2E9.jpg (26721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26"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ind w:firstLine="567"/>
        <w:jc w:val="center"/>
      </w:pPr>
      <w:r w:rsidRPr="00CC632B">
        <w:t>Рисунок 1. Общий вид испытательного стенда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 xml:space="preserve">Испытательный стенд представляет собой станину, изготовленную из металлического уголка размером 25х25х3 мм. Размеры станины: высота (400 </w:t>
      </w:r>
      <w:r w:rsidRPr="00CC632B">
        <w:rPr>
          <w:rFonts w:ascii="Symbol" w:hAnsi="Symbol"/>
        </w:rPr>
        <w:t></w:t>
      </w:r>
      <w:r w:rsidRPr="00CC632B">
        <w:t xml:space="preserve"> 50) мм, длина и ширина (400 </w:t>
      </w:r>
      <w:r w:rsidRPr="00CC632B">
        <w:rPr>
          <w:rFonts w:ascii="Symbol" w:hAnsi="Symbol"/>
        </w:rPr>
        <w:t></w:t>
      </w:r>
      <w:r w:rsidRPr="00CC632B">
        <w:t xml:space="preserve"> 50) мм. На станине размещена проволочная сетка. На сетку уложена минераловолокнистая плита (подложка) толщиной от 20 до </w:t>
      </w:r>
      <w:smartTag w:uri="urn:schemas-microsoft-com:office:smarttags" w:element="metricconverter">
        <w:smartTagPr>
          <w:attr w:name="ProductID" w:val="30 мм"/>
        </w:smartTagPr>
        <w:r w:rsidRPr="00CC632B">
          <w:t>30 мм</w:t>
        </w:r>
      </w:smartTag>
      <w:r w:rsidRPr="00CC632B">
        <w:t xml:space="preserve"> плотностью от 80 до 200 кг·м</w:t>
      </w:r>
      <w:r w:rsidRPr="00CC632B">
        <w:rPr>
          <w:vertAlign w:val="superscript"/>
        </w:rPr>
        <w:t>-2</w:t>
      </w:r>
      <w:r w:rsidRPr="00CC632B">
        <w:t xml:space="preserve"> размерами (450 </w:t>
      </w:r>
      <w:r w:rsidRPr="00CC632B">
        <w:rPr>
          <w:rFonts w:ascii="Symbol" w:hAnsi="Symbol"/>
        </w:rPr>
        <w:t></w:t>
      </w:r>
      <w:r w:rsidRPr="00CC632B">
        <w:t xml:space="preserve"> 50)х (450 </w:t>
      </w:r>
      <w:r w:rsidRPr="00CC632B">
        <w:rPr>
          <w:rFonts w:ascii="Symbol" w:hAnsi="Symbol"/>
        </w:rPr>
        <w:t></w:t>
      </w:r>
      <w:r w:rsidRPr="00CC632B">
        <w:t xml:space="preserve"> 50) мм.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4.3.2. В качестве источников зажигания применяют тлеющую сигарету и пламя газовой горелки.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Сигарета, используемая в качестве малокалорийного источника зажигания, должна быть без фильтра и иметь следующие характеристики: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длину (70 </w:t>
      </w:r>
      <w:r w:rsidRPr="00CC632B">
        <w:rPr>
          <w:rFonts w:ascii="Symbol" w:hAnsi="Symbol"/>
        </w:rPr>
        <w:t></w:t>
      </w:r>
      <w:r w:rsidRPr="00CC632B">
        <w:t xml:space="preserve"> 4) мм; диаметр (8 </w:t>
      </w:r>
      <w:r w:rsidRPr="00CC632B">
        <w:rPr>
          <w:rFonts w:ascii="Symbol" w:hAnsi="Symbol"/>
        </w:rPr>
        <w:t></w:t>
      </w:r>
      <w:r w:rsidRPr="00CC632B">
        <w:t xml:space="preserve"> 0,5) мм; массу (1 </w:t>
      </w:r>
      <w:r w:rsidRPr="00CC632B">
        <w:rPr>
          <w:rFonts w:ascii="Symbol" w:hAnsi="Symbol"/>
        </w:rPr>
        <w:t></w:t>
      </w:r>
      <w:r w:rsidRPr="00CC632B">
        <w:t xml:space="preserve"> 0,1) г. Время тления сигареты на длине </w:t>
      </w:r>
      <w:smartTag w:uri="urn:schemas-microsoft-com:office:smarttags" w:element="metricconverter">
        <w:smartTagPr>
          <w:attr w:name="ProductID" w:val="50 мм"/>
        </w:smartTagPr>
        <w:r w:rsidRPr="00CC632B">
          <w:t>50 мм</w:t>
        </w:r>
      </w:smartTag>
      <w:r w:rsidRPr="00CC632B">
        <w:t xml:space="preserve"> должно составлять (12 </w:t>
      </w:r>
      <w:r w:rsidRPr="00CC632B">
        <w:rPr>
          <w:rFonts w:ascii="Symbol" w:hAnsi="Symbol"/>
        </w:rPr>
        <w:t></w:t>
      </w:r>
      <w:r w:rsidRPr="00CC632B">
        <w:t xml:space="preserve"> 3) мин.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Для определения времени тления делают метки на сигарете на расстоянии 5 и </w:t>
      </w:r>
      <w:smartTag w:uri="urn:schemas-microsoft-com:office:smarttags" w:element="metricconverter">
        <w:smartTagPr>
          <w:attr w:name="ProductID" w:val="55 мм"/>
        </w:smartTagPr>
        <w:r w:rsidRPr="00CC632B">
          <w:t>55 мм</w:t>
        </w:r>
      </w:smartTag>
      <w:r w:rsidRPr="00CC632B">
        <w:t xml:space="preserve"> от зажигаемого конца. Зажигают сигарету и пропускают через нее воздух, например, с помощью сильфонного аспиратора АМ-5, до установления тления. На данную операцию следует использовать 5–8 мм длины сигареты. Затем нанизывают сигарету на острие горизонтально расположенной проволоки на расстоянии </w:t>
      </w:r>
      <w:smartTag w:uri="urn:schemas-microsoft-com:office:smarttags" w:element="metricconverter">
        <w:smartTagPr>
          <w:attr w:name="ProductID" w:val="13 мм"/>
        </w:smartTagPr>
        <w:r w:rsidRPr="00CC632B">
          <w:t>13 мм</w:t>
        </w:r>
      </w:smartTag>
      <w:r w:rsidRPr="00CC632B">
        <w:t xml:space="preserve"> от незажженного конца. Фиксируют время, в течение которого происходит тление сигареты от отметки </w:t>
      </w:r>
      <w:smartTag w:uri="urn:schemas-microsoft-com:office:smarttags" w:element="metricconverter">
        <w:smartTagPr>
          <w:attr w:name="ProductID" w:val="5 мм"/>
        </w:smartTagPr>
        <w:r w:rsidRPr="00CC632B">
          <w:t>5 мм</w:t>
        </w:r>
      </w:smartTag>
      <w:r w:rsidRPr="00CC632B">
        <w:t xml:space="preserve"> до отметки </w:t>
      </w:r>
      <w:smartTag w:uri="urn:schemas-microsoft-com:office:smarttags" w:element="metricconverter">
        <w:smartTagPr>
          <w:attr w:name="ProductID" w:val="55 мм"/>
        </w:smartTagPr>
        <w:r w:rsidRPr="00CC632B">
          <w:t>55 мм</w:t>
        </w:r>
      </w:smartTag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Газовая горелка представляет собой трубку, изготовленную из нержавеющей стали с внутренним диаметром (6,5 </w:t>
      </w:r>
      <w:r w:rsidRPr="00CC632B">
        <w:rPr>
          <w:rFonts w:ascii="Symbol" w:hAnsi="Symbol"/>
        </w:rPr>
        <w:t></w:t>
      </w:r>
      <w:r w:rsidRPr="00CC632B">
        <w:t xml:space="preserve"> 0,1) мм и длиной не менее </w:t>
      </w:r>
      <w:smartTag w:uri="urn:schemas-microsoft-com:office:smarttags" w:element="metricconverter">
        <w:smartTagPr>
          <w:attr w:name="ProductID" w:val="200 мм"/>
        </w:smartTagPr>
        <w:r w:rsidRPr="00CC632B">
          <w:t>200 мм</w:t>
        </w:r>
      </w:smartTag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Газовую горелку подсоединяют гибким шлангом через вентиль и устройство для измерения расхода газа к баллону с пропан-бутановой смесью. Длина гибкого шланга от 2,5 до </w:t>
      </w:r>
      <w:smartTag w:uri="urn:schemas-microsoft-com:office:smarttags" w:element="metricconverter">
        <w:smartTagPr>
          <w:attr w:name="ProductID" w:val="3,0 м"/>
        </w:smartTagPr>
        <w:r w:rsidRPr="00CC632B">
          <w:t>3,0 м</w:t>
        </w:r>
      </w:smartTag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4.3.3. В качестве средств измерения следует использовать секундомер, линейку и устройство для измерения расхода газа. Секундомер должен обеспечивать измерение времени с погрешностью </w:t>
      </w:r>
      <w:r w:rsidRPr="00CC632B">
        <w:rPr>
          <w:rFonts w:ascii="Symbol" w:hAnsi="Symbol"/>
        </w:rPr>
        <w:t></w:t>
      </w:r>
      <w:r w:rsidRPr="00CC632B">
        <w:t xml:space="preserve"> 1 с, линейка – измерение длины, ширины повреждения с погрешностью </w:t>
      </w:r>
      <w:r w:rsidRPr="00CC632B">
        <w:rPr>
          <w:rFonts w:ascii="Symbol" w:hAnsi="Symbol"/>
        </w:rPr>
        <w:t></w:t>
      </w:r>
      <w:r w:rsidRPr="00CC632B">
        <w:t xml:space="preserve"> </w:t>
      </w:r>
      <w:smartTag w:uri="urn:schemas-microsoft-com:office:smarttags" w:element="metricconverter">
        <w:smartTagPr>
          <w:attr w:name="ProductID" w:val="1 мм"/>
        </w:smartTagPr>
        <w:r w:rsidRPr="00CC632B">
          <w:t>1 мм</w:t>
        </w:r>
      </w:smartTag>
      <w:r w:rsidRPr="00CC632B">
        <w:t>, а устройство для измерения расхода газа – измерение расхода до 60 см</w:t>
      </w:r>
      <w:r w:rsidRPr="00CC632B">
        <w:rPr>
          <w:vertAlign w:val="superscript"/>
        </w:rPr>
        <w:t>3</w:t>
      </w:r>
      <w:r w:rsidRPr="00CC632B">
        <w:t>·мин</w:t>
      </w:r>
      <w:r w:rsidRPr="00CC632B">
        <w:rPr>
          <w:vertAlign w:val="superscript"/>
        </w:rPr>
        <w:t>-1</w:t>
      </w:r>
      <w:r w:rsidRPr="00CC632B">
        <w:t xml:space="preserve"> с погрешностью не более </w:t>
      </w:r>
      <w:r w:rsidRPr="00CC632B">
        <w:rPr>
          <w:rFonts w:ascii="Symbol" w:hAnsi="Symbol"/>
        </w:rPr>
        <w:t></w:t>
      </w:r>
      <w:r w:rsidRPr="00CC632B">
        <w:t xml:space="preserve"> 0,2 см</w:t>
      </w:r>
      <w:r w:rsidRPr="00CC632B">
        <w:rPr>
          <w:vertAlign w:val="superscript"/>
        </w:rPr>
        <w:t>3</w:t>
      </w:r>
      <w:r w:rsidRPr="00CC632B">
        <w:t>·мин</w:t>
      </w:r>
      <w:r w:rsidRPr="00CC632B">
        <w:rPr>
          <w:vertAlign w:val="superscript"/>
        </w:rPr>
        <w:t>-1</w:t>
      </w:r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4.3.4. Установку следует размещать в несгораемом вытяжном шкафу, обеспечивающем скорость потока воздуха от 0,02 до 0,2 м·с</w:t>
      </w:r>
      <w:r w:rsidRPr="00CC632B">
        <w:rPr>
          <w:vertAlign w:val="superscript"/>
        </w:rPr>
        <w:t>-1</w:t>
      </w:r>
      <w:r w:rsidRPr="00CC632B">
        <w:t>, или в специальном хорошо проветриваемом помещении с циркуляцией воздуха при скорости потока воздуха в помещении не более 0,2 м·с</w:t>
      </w:r>
      <w:r w:rsidRPr="00CC632B">
        <w:rPr>
          <w:vertAlign w:val="superscript"/>
        </w:rPr>
        <w:t>-1</w:t>
      </w:r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4.4. Порядок подготовки образцов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4.4.1. Для испытаний из изделий, которые в употреблении складываются (простыней, пододеяльников, одеял и покрывал), изготавливают образцы в виде полосы размером (450 </w:t>
      </w:r>
      <w:r w:rsidRPr="00CC632B">
        <w:rPr>
          <w:rFonts w:ascii="Symbol" w:hAnsi="Symbol"/>
        </w:rPr>
        <w:t></w:t>
      </w:r>
      <w:r w:rsidRPr="00CC632B">
        <w:t xml:space="preserve"> 50)х (1350 </w:t>
      </w:r>
      <w:r w:rsidRPr="00CC632B">
        <w:rPr>
          <w:rFonts w:ascii="Symbol" w:hAnsi="Symbol"/>
        </w:rPr>
        <w:t></w:t>
      </w:r>
      <w:r w:rsidRPr="00CC632B">
        <w:t xml:space="preserve"> 50) мм и складывают в три раза по длине. Образцы из стеганых и пуховых одеял вырезают размером (450 </w:t>
      </w:r>
      <w:r w:rsidRPr="00CC632B">
        <w:rPr>
          <w:rFonts w:ascii="Symbol" w:hAnsi="Symbol"/>
        </w:rPr>
        <w:t></w:t>
      </w:r>
      <w:r w:rsidRPr="00CC632B">
        <w:t xml:space="preserve"> 50)х(450 </w:t>
      </w:r>
      <w:r w:rsidRPr="00CC632B">
        <w:rPr>
          <w:rFonts w:ascii="Symbol" w:hAnsi="Symbol"/>
        </w:rPr>
        <w:t></w:t>
      </w:r>
      <w:r w:rsidRPr="00CC632B">
        <w:t xml:space="preserve"> 50) мм, и края при необходимости зашивают. Образцы одеял для испытаний должны иметь два первоначальных края. Образцы из подушек изготавливают размером (450 </w:t>
      </w:r>
      <w:r w:rsidRPr="00CC632B">
        <w:rPr>
          <w:rFonts w:ascii="Symbol" w:hAnsi="Symbol"/>
        </w:rPr>
        <w:t></w:t>
      </w:r>
      <w:r w:rsidRPr="00CC632B">
        <w:t xml:space="preserve"> 50)х(450 </w:t>
      </w:r>
      <w:r w:rsidRPr="00CC632B">
        <w:rPr>
          <w:rFonts w:ascii="Symbol" w:hAnsi="Symbol"/>
        </w:rPr>
        <w:t></w:t>
      </w:r>
      <w:r w:rsidRPr="00CC632B">
        <w:t xml:space="preserve"> 50) мм: из наволочки готового изделия шьют наволочку размером (450 </w:t>
      </w:r>
      <w:r w:rsidRPr="00CC632B">
        <w:rPr>
          <w:rFonts w:ascii="Symbol" w:hAnsi="Symbol"/>
        </w:rPr>
        <w:t></w:t>
      </w:r>
      <w:r w:rsidRPr="00CC632B">
        <w:t xml:space="preserve"> 50)х (450 </w:t>
      </w:r>
      <w:r w:rsidRPr="00CC632B">
        <w:rPr>
          <w:rFonts w:ascii="Symbol" w:hAnsi="Symbol"/>
        </w:rPr>
        <w:t></w:t>
      </w:r>
      <w:r w:rsidRPr="00CC632B">
        <w:t xml:space="preserve"> 50) мм и </w:t>
      </w:r>
      <w:r w:rsidRPr="00CC632B">
        <w:lastRenderedPageBreak/>
        <w:t>заполняют ее наполнителем, применяемым в готовом изделии, в количестве, пропорциональном площади и весу готового изделия. Край наволочки зашивают.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4.4.2. Для испытаний комплекта, состоящего из нескольких постельных принадлежностей, образцы подушек и пуховых одеял изготавливают размером (225 </w:t>
      </w:r>
      <w:r w:rsidRPr="00CC632B">
        <w:rPr>
          <w:rFonts w:ascii="Symbol" w:hAnsi="Symbol"/>
        </w:rPr>
        <w:t></w:t>
      </w:r>
      <w:r w:rsidRPr="00CC632B">
        <w:t xml:space="preserve"> 50)х (225 </w:t>
      </w:r>
      <w:r w:rsidRPr="00CC632B">
        <w:rPr>
          <w:rFonts w:ascii="Symbol" w:hAnsi="Symbol"/>
        </w:rPr>
        <w:t></w:t>
      </w:r>
      <w:r w:rsidRPr="00CC632B">
        <w:t xml:space="preserve">50) мм, а образцы складывающихся в употреблении изделий размером (450 </w:t>
      </w:r>
      <w:r w:rsidRPr="00CC632B">
        <w:rPr>
          <w:rFonts w:ascii="Symbol" w:hAnsi="Symbol"/>
        </w:rPr>
        <w:t></w:t>
      </w:r>
      <w:r w:rsidRPr="00CC632B">
        <w:t xml:space="preserve"> 50)х (450 </w:t>
      </w:r>
      <w:r w:rsidRPr="00CC632B">
        <w:rPr>
          <w:rFonts w:ascii="Symbol" w:hAnsi="Symbol"/>
        </w:rPr>
        <w:t></w:t>
      </w:r>
      <w:r w:rsidRPr="00CC632B">
        <w:t xml:space="preserve"> 50) мм.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4.4.3. Подлежащие испытанию образцы, подложку и сигареты выдерживают непосредственно перед испытанием в течение 72 ч внутри помещения при комнатных условиях, а затем кондиционируют в течение не менее 16 ч при температуре (20 </w:t>
      </w:r>
      <w:r w:rsidRPr="00CC632B">
        <w:rPr>
          <w:rFonts w:ascii="Symbol" w:hAnsi="Symbol"/>
        </w:rPr>
        <w:t></w:t>
      </w:r>
      <w:r w:rsidRPr="00CC632B">
        <w:t xml:space="preserve"> 2) </w:t>
      </w:r>
      <w:r w:rsidRPr="00CC632B">
        <w:rPr>
          <w:rFonts w:ascii="Symbol" w:hAnsi="Symbol"/>
        </w:rPr>
        <w:t></w:t>
      </w:r>
      <w:r w:rsidRPr="00CC632B">
        <w:t xml:space="preserve"> С и относительной влажности (65 </w:t>
      </w:r>
      <w:r w:rsidRPr="00CC632B">
        <w:rPr>
          <w:rFonts w:ascii="Symbol" w:hAnsi="Symbol"/>
        </w:rPr>
        <w:t></w:t>
      </w:r>
      <w:r w:rsidRPr="00CC632B">
        <w:t xml:space="preserve"> 2) %. Каждый образец после кондиционирования следует поместить в герметичный контейнер. Испытания каждого образца начинают проводить не позднее чем через 10 мин после его изъятия из герметичного контейнера.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 Порядок проведения испытаний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4.5.1. Перед испытанием постельных принадлежностей с использованием тлеющей сигареты зажигают сигарету и пропускают через нее воздух до установления тления, расходуя на эту операцию от 5 до </w:t>
      </w:r>
      <w:smartTag w:uri="urn:schemas-microsoft-com:office:smarttags" w:element="metricconverter">
        <w:smartTagPr>
          <w:attr w:name="ProductID" w:val="8 мм"/>
        </w:smartTagPr>
        <w:r w:rsidRPr="00CC632B">
          <w:t>8 мм</w:t>
        </w:r>
      </w:smartTag>
      <w:r w:rsidRPr="00CC632B">
        <w:t xml:space="preserve"> её длины.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4.5.2. Тлеющую сигарету кладут в соответствии с пп. 4.5.5-4.5.10 на образец, расположенный на испытательном стенде так, чтобы тлеющий конец сигареты находился на расстоянии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края образца. Фиксируют время начала испытания, проводят наблюдение за развитием горения или тления, отмечая любые их проявления.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4.5.3. Если наблюдается остаточное тление или устойчивое горение образца в течение часа после размещения на нем тлеющей сигареты, то следует потушить образец и зарегистрировать этот факт.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4.5.4. Если остаточное тление или устойчивое горение не наблюдалось в течение часа, то следует отметить этот факт и повторить испытание с новой сигаретой, помещенной в другое место на расстоянии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места повреждения, полученного образцом в результате предыдущего испытания.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4.5.5. При испытании изделий, которые в употреблении не складываются, на подложку испытательного стенда помещают образец, на него кладут четыре тлеющие сигареты: две в направлении длины и две в направлении ширины. Расстояние между сигаретами, а также между ними и краями образца должно быть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4.5.6. При испытании складывающихся в употреблении изделий образец, сложенный в три раза по длине, помещают на испытательный стенд. Одну тлеющую сигарету помещают между верхним и вторым слоем образца, а другую – сверху верхнего слоя образца (рисунок 2). Расстояние между сигаретами, а также между ними и краями образца должно быть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4.5.7. При испытании стеганых одеял на образец, помещенный на испытательный стенд, кладут три тлеющие сигареты: первую – на верхнюю выпуклую часть одеяла, вторую – по линии стежков, а третью – под самой плотной частью стеганого одеяла (рисунок 3). Расстояние между сигаретами, а также между ними и краями образца должно быть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>.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lastRenderedPageBreak/>
        <w:drawing>
          <wp:inline distT="0" distB="0" distL="0" distR="0">
            <wp:extent cx="4733925" cy="2781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jc w:val="center"/>
      </w:pPr>
      <w:r w:rsidRPr="00CC632B">
        <w:t>Рисунок 2. Расположение источника зажигания при испытании складывающихся в употреблении изделий:</w:t>
      </w:r>
      <w:r w:rsidRPr="00CC632B">
        <w:br/>
        <w:t>1 – источник зажигания; 2 – подложка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drawing>
          <wp:inline distT="0" distB="0" distL="0" distR="0">
            <wp:extent cx="4972050" cy="2762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jc w:val="center"/>
      </w:pPr>
      <w:r w:rsidRPr="00CC632B">
        <w:t>Рисунок 3. Расположение источника зажигания при испытании стеганых одеял:</w:t>
      </w:r>
      <w:r w:rsidRPr="00CC632B">
        <w:br/>
        <w:t>1 – источник зажигания; 2 – подложка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4.5.8. При испытании подушек и пуховых одеял на образец, помещенный на испытательный стенд, воздействуют двумя тлеющими сигаретами: первая должна находиться на верхней плоской поверхности образца, а вторая – на стыке образца и подложки (рисунок 4).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lastRenderedPageBreak/>
        <w:drawing>
          <wp:inline distT="0" distB="0" distL="0" distR="0">
            <wp:extent cx="5448300" cy="32670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jc w:val="center"/>
      </w:pPr>
      <w:r w:rsidRPr="00CC632B">
        <w:t>Рисунок 4. Расположение источника зажигания при испытании подушек:</w:t>
      </w:r>
      <w:r w:rsidRPr="00CC632B">
        <w:br/>
        <w:t>1 – источник зажигания; 2 – подложка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4.5.9. При испытании комплектов постельных принадлежностей, включающих в себя подушки, пледы, покрывала, стеганые и пуховые одеяла, положенные поверх простыни и наматрасника, их образцы помещают на испытательном стенде в соответствии с реальным расположением изделий в комплекте, и тлеющую сигарету кладут на простыню на стыке подушки и сложенного вдвое покрывала (рисунок 5).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4.5.10. При испытании комплектов постельных принадлежностей без подушек тлеющую сигарету кладут на стыке простыни и сложенного вдвое покрывала (рисунок 6).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drawing>
          <wp:inline distT="0" distB="0" distL="0" distR="0">
            <wp:extent cx="5410200" cy="2809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jc w:val="center"/>
      </w:pPr>
      <w:r w:rsidRPr="00CC632B">
        <w:t>Рисунок 5. Расположение источника зажигания при испытании комплектов постельных принадлежностей, включающих подушку:</w:t>
      </w:r>
      <w:r w:rsidRPr="00CC632B">
        <w:br/>
        <w:t>1 – источник зажигания; 2 – подложка; 3 – нижняя простыня; 4 – покрывало (сложено вдвое); 5 – подушка</w:t>
      </w:r>
    </w:p>
    <w:p w:rsidR="003024FF" w:rsidRPr="00CC632B" w:rsidRDefault="00225AA4" w:rsidP="007F3D9E">
      <w:pPr>
        <w:pStyle w:val="4"/>
        <w:ind w:firstLine="567"/>
        <w:jc w:val="center"/>
      </w:pPr>
      <w:r>
        <w:rPr>
          <w:noProof/>
        </w:rPr>
        <w:lastRenderedPageBreak/>
        <w:drawing>
          <wp:inline distT="0" distB="0" distL="0" distR="0">
            <wp:extent cx="4362450" cy="3076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ind w:firstLine="567"/>
        <w:jc w:val="center"/>
      </w:pPr>
      <w:r w:rsidRPr="00CC632B">
        <w:t>Рисунок 6. Расположение источника зажигания при испытании комплектов постельных принадлежностей без подушки:</w:t>
      </w:r>
      <w:r w:rsidRPr="00CC632B">
        <w:br/>
        <w:t>1 – источник зажигания; 2 – подложка; 3 – нижняя простыня; 4 – покрывало (сложено вдвое)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4.5.11. Измеряют длину и ширину повреждения (в мм) и фиксируют время остаточного тления или устойчивого горения образца (в с).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4.5.12. Перед испытанием с использованием в качестве источника зажигания газовой горелки следует зажечь ее и отрегулировать подачу газовой смеси к горелке таким образом, чтобы расход газа составлял 44 см</w:t>
      </w:r>
      <w:r w:rsidRPr="00CC632B">
        <w:rPr>
          <w:vertAlign w:val="superscript"/>
        </w:rPr>
        <w:t>3</w:t>
      </w:r>
      <w:r w:rsidRPr="00CC632B">
        <w:t>·мин</w:t>
      </w:r>
      <w:r w:rsidRPr="00CC632B">
        <w:rPr>
          <w:vertAlign w:val="superscript"/>
        </w:rPr>
        <w:t>-1</w:t>
      </w:r>
      <w:r w:rsidRPr="00CC632B">
        <w:t>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4.5.13. Газовую горелку кладут в соответствии с пп. 4.5.18-4.5.22 на испытываемый образец так, чтобы трубка газовой горелки проходила горизонтально и соприкасалась с поверхностью образца без нажима. Пламя горелки должно находиться на расстоянии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края образца или от места повреждения, оставшегося после предыдущего испытания. Время воздействия пламени газовой горелки на образец составляет (15 </w:t>
      </w:r>
      <w:r w:rsidRPr="00CC632B">
        <w:rPr>
          <w:rFonts w:ascii="Symbol" w:hAnsi="Symbol"/>
        </w:rPr>
        <w:t></w:t>
      </w:r>
      <w:r w:rsidRPr="00CC632B">
        <w:t xml:space="preserve"> 1) с.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4.5.14. Горелку выключают и удаляют от испытательного стенда.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4.5.15. Если остаточное тление или устойчивое горение наблюдается по истечении 150 с после удаления газовой горелки, образец тушат с помощью асбестового одеяла и фиксируют степень повреждения образца. Дальнейшие испытания не проводят.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4.5.16. Если остаточное тление или устойчивое горение не наблюдается в течение 150 с, то испытание повторяют на новом участке образца на расстоянии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места повреждения, оставшегося после предыдущего испытания. Если остаточное тление или устойчивое горение не наблюдается и на этот раз, то испытания прекращают.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4.5.17. Измеряют длину и ширину повреждения (в мм) и фиксируют время остаточного тления или устойчивого горения образца (в с).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>4.5.18. При испытании постельных принадлежностей, имеющих плоскую форму (простыней, покрывал и т. п.), газовую горелку кладут на образец, ровно размещенный на испытательном стенде.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4.5.19. При испытании стеганых одеял образец помещают на испытательный стенд, а газовую горелку кладут на верхнюю плоскую поверхность образца таким образом, чтобы её пламя находилось на расстоянии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краев образца. При проведении повторного испытания газовую горелку располагают по линии стежков верхней части образца на расстоянии не менее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места повреждения, полученного в результате предыдущего испытания.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4.5.20. При испытании подушек и пуховых одеял образец помещают на испытательный стенд, а газовую горелку кладут на плоскую верхнюю поверхность образца. При проведении повторного испытания газовую горелку располагают горизонтально на стыке образца и подложки (рисунок 4).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4.5.21. При испытании комплектов постельных принадлежностей, включающих в себя подушки, пледы, покрывала, стеганые и пуховые одеяла, положенные поверх простыни и наматрасника, их образцы помещают на испытательном стенде в соответствии с реальным расположением изделий в комплекте, и газовую горелку располагают горизонтально в центре на простыне на стыке подушки и сложенного вдвое покрывала (рисунок 5).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4.5.22. При испытании комплектов постельных принадлежностей без подушек газовую горелку располагают на стыке образцов простыни и сложенного вдвое покрывала, помещенных на испытательном стенде (рисунок 6).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4.6. Оценка результатов испытаний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4.6.1. Материалы или комбинацию материалов относят к группе легковоспламеняемых по одному из следующих признаков: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образец продолжает тлеть по истечении часа после удаления тлеющей сигареты;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при воздействии тлеющей сигареты образец загорелся;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наблюдается горение образца после удаления пламени газовой горелки в течение более 150 с;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горение или тление распространилось более чем на </w:t>
      </w:r>
      <w:smartTag w:uri="urn:schemas-microsoft-com:office:smarttags" w:element="metricconverter">
        <w:smartTagPr>
          <w:attr w:name="ProductID" w:val="50 мм"/>
        </w:smartTagPr>
        <w:r w:rsidRPr="00CC632B">
          <w:t>50 мм</w:t>
        </w:r>
      </w:smartTag>
      <w:r w:rsidRPr="00CC632B">
        <w:t xml:space="preserve"> в горизонтальном направлении от места расположения тлеющей сигареты.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4.6.2. Если по результатам одного испытания комбинация материалов является легковоспламеняемой, а по результатам второго не может быть отнесена к этой группе, то данную комбинацию материалов следует отнести к числу легковоспламеняемых.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4.6.3. Если ни одного из перечисленных признаков не наблюдается, то материал (или комбинация материалов) классифицируется как не относящийся к легковоспламеняемым.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4.6.4. Результаты испытаний оформляют в виде протокола, который должен включать в себя: ссылку на нормативный документ, в соответствии с которым проводилось испытание; дату и условия проведения испытаний; полную характеристику и </w:t>
      </w:r>
      <w:r w:rsidRPr="00CC632B">
        <w:lastRenderedPageBreak/>
        <w:t>состав испытываемых материалов; размеры повреждения (в мм) в каждом испытании; время устойчивого горения или остаточного тления образца при каждом испытании; время воздействия источника зажигания; наличие тления внутри образца; особенности горения или тления образца.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5. ОПРЕДЕЛЕНИЕ ВОСПЛАМЕНЯЕМОСТИ ЭЛЕМЕНТОВ МЯГКОЙ МЕБЕЛИ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5.1. В процессе испытаний устанавливают способность элементов мягкой мебели к воспламенению, устойчивому горению от источников зажигания.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5.2. Испытаниям подвергают обивочные, прокладочные и набивочные (наполнители) материалы, а также комбинации материалов, используемых для изготовления мягкой мебели.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5.3. Средства испытаний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5.3.1. Установка для определения воспламеняемости элементов мягкой мебели состоит из испытательного стенда, источников зажигания и средств измерения. Испытательный стенд представляет собой макет сидения и спинки (боковины и сидения) мягкой мебели и состоит из двух прямоугольных рам, соединенных под прямым углом друг к другу (рисунки 7, 8). Рамы изготавливают из стальных уголков размером 25Х25Х3 мм, к которым крепится стальная сетка. Площадь ячейки стальной сетки составляет от 15 до 150 мм</w:t>
      </w:r>
      <w:r w:rsidRPr="00CC632B">
        <w:rPr>
          <w:vertAlign w:val="superscript"/>
        </w:rPr>
        <w:t>2</w:t>
      </w:r>
      <w:r w:rsidRPr="00CC632B">
        <w:t xml:space="preserve">. Ширина и высота рамы спинки соответственно (450 </w:t>
      </w:r>
      <w:r w:rsidRPr="00CC632B">
        <w:rPr>
          <w:rFonts w:ascii="Symbol" w:hAnsi="Symbol"/>
        </w:rPr>
        <w:t></w:t>
      </w:r>
      <w:r w:rsidRPr="00CC632B">
        <w:t xml:space="preserve"> 10) мм и (300 </w:t>
      </w:r>
      <w:r w:rsidRPr="00CC632B">
        <w:rPr>
          <w:rFonts w:ascii="Symbol" w:hAnsi="Symbol"/>
        </w:rPr>
        <w:t></w:t>
      </w:r>
      <w:r w:rsidRPr="00CC632B">
        <w:t xml:space="preserve"> 10) мм, ширина и глубина рамы сидения соответственно (450 </w:t>
      </w:r>
      <w:r w:rsidRPr="00CC632B">
        <w:rPr>
          <w:rFonts w:ascii="Symbol" w:hAnsi="Symbol"/>
        </w:rPr>
        <w:t></w:t>
      </w:r>
      <w:r w:rsidRPr="00CC632B">
        <w:t xml:space="preserve"> 10) мм и (150 </w:t>
      </w:r>
      <w:r w:rsidRPr="00CC632B">
        <w:rPr>
          <w:rFonts w:ascii="Symbol" w:hAnsi="Symbol"/>
        </w:rPr>
        <w:t></w:t>
      </w:r>
      <w:r w:rsidRPr="00CC632B">
        <w:t xml:space="preserve"> 10) мм. Боковины рам выступают за пределы каждой рамы, образуя ножки (см. рисунок 7).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lastRenderedPageBreak/>
        <w:drawing>
          <wp:inline distT="0" distB="0" distL="0" distR="0">
            <wp:extent cx="4838700" cy="5638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jc w:val="center"/>
      </w:pPr>
      <w:r w:rsidRPr="00CC632B">
        <w:t>Рисунок 7. Общий вид испытательного стенда:</w:t>
      </w:r>
      <w:r w:rsidRPr="00CC632B">
        <w:br/>
        <w:t>1, 2 – стальные рамы; 3 – обивочный материал; 4 – набивочный материал; 5 – зажим</w:t>
      </w:r>
    </w:p>
    <w:p w:rsidR="003024FF" w:rsidRPr="00CC632B" w:rsidRDefault="00225AA4" w:rsidP="007F3D9E">
      <w:pPr>
        <w:pStyle w:val="4"/>
        <w:jc w:val="center"/>
      </w:pPr>
      <w:r>
        <w:rPr>
          <w:noProof/>
        </w:rPr>
        <w:lastRenderedPageBreak/>
        <w:drawing>
          <wp:inline distT="0" distB="0" distL="0" distR="0">
            <wp:extent cx="4495800" cy="5514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4FF" w:rsidRPr="00CC632B" w:rsidRDefault="003024FF" w:rsidP="007F3D9E">
      <w:pPr>
        <w:pStyle w:val="4"/>
        <w:jc w:val="center"/>
      </w:pPr>
      <w:r w:rsidRPr="00CC632B">
        <w:t>Рисунок 8. Конструкция испытательного стенда:</w:t>
      </w:r>
      <w:r w:rsidRPr="00CC632B">
        <w:br/>
        <w:t>1, 2 – стальные рамы; 3 – шарнир; 4, 5 – стальные сетки; 6 – болт; 7 – ножка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5.3.2. Требования к источникам зажигания, средствам измерения и условиям размещения оборудования согласно пп. 4.3.2–4.3.4.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5.4. Порядок подготовки образцов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5.4.1. Для испытаний берут образцы обивочного и прокладочного материалов размерами (800 </w:t>
      </w:r>
      <w:r w:rsidRPr="00CC632B">
        <w:rPr>
          <w:rFonts w:ascii="Symbol" w:hAnsi="Symbol"/>
        </w:rPr>
        <w:t></w:t>
      </w:r>
      <w:r w:rsidRPr="00CC632B">
        <w:t xml:space="preserve"> 10)Х(650 </w:t>
      </w:r>
      <w:r w:rsidRPr="00CC632B">
        <w:rPr>
          <w:rFonts w:ascii="Symbol" w:hAnsi="Symbol"/>
        </w:rPr>
        <w:t></w:t>
      </w:r>
      <w:r w:rsidRPr="00CC632B">
        <w:t xml:space="preserve"> 10) мм. Материал может быть сшит из кусочков меньшего размера при условии, что швы не находятся в пределах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от места, подвергаемого испытанию.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5.4.2. Для испытания следует приготовить один образец набивочного материала, состоящий из двух частей размерами (450 </w:t>
      </w:r>
      <w:r w:rsidRPr="00CC632B">
        <w:rPr>
          <w:rFonts w:ascii="Symbol" w:hAnsi="Symbol"/>
        </w:rPr>
        <w:t></w:t>
      </w:r>
      <w:r w:rsidRPr="00CC632B">
        <w:t xml:space="preserve"> 10)Х(300 </w:t>
      </w:r>
      <w:r w:rsidRPr="00CC632B">
        <w:rPr>
          <w:rFonts w:ascii="Symbol" w:hAnsi="Symbol"/>
        </w:rPr>
        <w:t></w:t>
      </w:r>
      <w:r w:rsidRPr="00CC632B">
        <w:t xml:space="preserve"> 10) мм, (450 </w:t>
      </w:r>
      <w:r w:rsidRPr="00CC632B">
        <w:rPr>
          <w:rFonts w:ascii="Symbol" w:hAnsi="Symbol"/>
        </w:rPr>
        <w:t></w:t>
      </w:r>
      <w:r w:rsidRPr="00CC632B">
        <w:t xml:space="preserve"> 10)Х (150 </w:t>
      </w:r>
      <w:r w:rsidRPr="00CC632B">
        <w:rPr>
          <w:rFonts w:ascii="Symbol" w:hAnsi="Symbol"/>
        </w:rPr>
        <w:t></w:t>
      </w:r>
      <w:r w:rsidRPr="00CC632B">
        <w:t xml:space="preserve"> 10) мм и толщиной (75 </w:t>
      </w:r>
      <w:r w:rsidRPr="00CC632B">
        <w:rPr>
          <w:rFonts w:ascii="Symbol" w:hAnsi="Symbol"/>
        </w:rPr>
        <w:t></w:t>
      </w:r>
      <w:r w:rsidRPr="00CC632B">
        <w:t xml:space="preserve"> 2) мм. Образцы могут состоять из нескольких слоев. Если толщина образца менее </w:t>
      </w:r>
      <w:smartTag w:uri="urn:schemas-microsoft-com:office:smarttags" w:element="metricconverter">
        <w:smartTagPr>
          <w:attr w:name="ProductID" w:val="75 мм"/>
        </w:smartTagPr>
        <w:r w:rsidRPr="00CC632B">
          <w:t>75 мм</w:t>
        </w:r>
      </w:smartTag>
      <w:r w:rsidRPr="00CC632B">
        <w:t>, то ее необходимо увеличить, добавив слои набивочного материала.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 xml:space="preserve">5.4.3. Если в качестве набивочного материала применяют дисперсный материал (например, пеноуретановую крошку), то такой материал следует поместить в тканевую оболочку, при этом толщина слоя должна быть (75 </w:t>
      </w:r>
      <w:r w:rsidRPr="00CC632B">
        <w:rPr>
          <w:rFonts w:ascii="Symbol" w:hAnsi="Symbol"/>
        </w:rPr>
        <w:t></w:t>
      </w:r>
      <w:r w:rsidRPr="00CC632B">
        <w:t xml:space="preserve"> 2) мм.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5.4.4. Испытываемые материалы выдерживают в течение 16 ч при температуре (20 </w:t>
      </w:r>
      <w:r w:rsidRPr="00CC632B">
        <w:rPr>
          <w:rFonts w:ascii="Symbol" w:hAnsi="Symbol"/>
        </w:rPr>
        <w:t></w:t>
      </w:r>
      <w:r w:rsidRPr="00CC632B">
        <w:t xml:space="preserve"> 5) </w:t>
      </w:r>
      <w:r w:rsidRPr="00CC632B">
        <w:rPr>
          <w:rFonts w:ascii="Symbol" w:hAnsi="Symbol"/>
        </w:rPr>
        <w:t></w:t>
      </w:r>
      <w:r w:rsidRPr="00CC632B">
        <w:t xml:space="preserve"> С и относительной влажности (65 </w:t>
      </w:r>
      <w:r w:rsidRPr="00CC632B">
        <w:rPr>
          <w:rFonts w:ascii="Symbol" w:hAnsi="Symbol"/>
        </w:rPr>
        <w:t></w:t>
      </w:r>
      <w:r w:rsidRPr="00CC632B">
        <w:t xml:space="preserve"> 2) %.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5.4.5. Устанавливают испытательный стенд в горизонтальном положении и заправляют обивочную и прокладочную ткань (если таковая имеется) за шарнир.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5.4.6. Кладут образцы набивочного материала под обивочную ткань в углубление рам.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5.4.7. С внешней стороны рам делают напуск и закрепляют обивочную ткань сверху, снизу и с боковых сторон зажимами. Ткань должна быть под натяжением и прочно крепиться к раме.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5.4.8. Закрепляют рамы под прямым углом болтами или штифтами.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5.4.9. Регулируют подачу газовой смеси к горелке таким образом, чтобы высота пламени составляла (35 </w:t>
      </w:r>
      <w:r w:rsidRPr="00CC632B">
        <w:rPr>
          <w:rFonts w:ascii="Symbol" w:hAnsi="Symbol"/>
        </w:rPr>
        <w:t></w:t>
      </w:r>
      <w:r w:rsidRPr="00CC632B">
        <w:t xml:space="preserve"> 5) мм.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5.5. Порядок проведения испытаний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5.5.1. Перед испытанием с использованием в качестве источника зажигания тлеющей сигареты зажигают сигарету и пропускают через нее воздух до установления тления, расходуя на эту операцию 5–8 мм длины сигареты.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5.5.2. Тлеющую сигарету кладут горизонтально вдоль соединения вертикальной и горизонтальной частей стенда так, чтобы тлеющий конец сигареты находился на расстоянии не менее </w:t>
      </w:r>
      <w:smartTag w:uri="urn:schemas-microsoft-com:office:smarttags" w:element="metricconverter">
        <w:smartTagPr>
          <w:attr w:name="ProductID" w:val="50 мм"/>
        </w:smartTagPr>
        <w:r w:rsidRPr="00CC632B">
          <w:t>50 мм</w:t>
        </w:r>
      </w:smartTag>
      <w:r w:rsidRPr="00CC632B">
        <w:t xml:space="preserve"> от ближайшего края. Фиксируют время начала испытания. Проводят наблюдение за развитием горения или тления, отмечая любое их проявление.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5.5.3. Выполняют операции согласно п. 4.5.4.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5.5.4. После проведения испытаний разбирают испытательный стенд и осматривают его в целях выявления признаков распространения тления внутри образца. Если таковые обнаружены, ликвидируют тление и регистрируют результат.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5.5.5. Измеряют ширину, высоту и глубину повреждения (в мм) и фиксируют время устойчивого горения и остаточного тления образца (в с).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5.5.6. Перед испытанием с использованием в качестве источника зажигания газовой горелки зажигают газовую горелку, регулируют расход газа таким образом, чтобы высота пламени при вертикальном положении горелки составляла (35 </w:t>
      </w:r>
      <w:r w:rsidRPr="00CC632B">
        <w:rPr>
          <w:rFonts w:ascii="Symbol" w:hAnsi="Symbol"/>
        </w:rPr>
        <w:t></w:t>
      </w:r>
      <w:r w:rsidRPr="00CC632B">
        <w:t xml:space="preserve"> 5) мм, и выжидают 120 с до стабилизации пламени.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5.5.7. Горелку направляют вдоль линии соединения вертикальной и горизонтальной частей испытательного стенда так, чтобы она находилась на расстоянии не менее </w:t>
      </w:r>
      <w:smartTag w:uri="urn:schemas-microsoft-com:office:smarttags" w:element="metricconverter">
        <w:smartTagPr>
          <w:attr w:name="ProductID" w:val="50 мм"/>
        </w:smartTagPr>
        <w:r w:rsidRPr="00CC632B">
          <w:t>50 мм</w:t>
        </w:r>
      </w:smartTag>
      <w:r w:rsidRPr="00CC632B">
        <w:t xml:space="preserve"> от края образца. Время воздействия газовой горелки на образец составляет (20 </w:t>
      </w:r>
      <w:r w:rsidRPr="00CC632B">
        <w:rPr>
          <w:rFonts w:ascii="Symbol" w:hAnsi="Symbol"/>
        </w:rPr>
        <w:t></w:t>
      </w:r>
      <w:r w:rsidRPr="00CC632B">
        <w:t xml:space="preserve"> 1) с.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>5.5.8. Если остаточное тление или устойчивое горение наблюдается по истечении 120 с после удаления газовой горелки, пламя (тление) ликвидируют и далее испытания прекращают.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5.5.9. Если остаточное тление или устойчивое горение не наблюдается в течение 120 с, то испытания повторяют на новом участке образца на расстоянии не менее </w:t>
      </w:r>
      <w:smartTag w:uri="urn:schemas-microsoft-com:office:smarttags" w:element="metricconverter">
        <w:smartTagPr>
          <w:attr w:name="ProductID" w:val="50 мм"/>
        </w:smartTagPr>
        <w:r w:rsidRPr="00CC632B">
          <w:t>50 мм</w:t>
        </w:r>
      </w:smartTag>
      <w:r w:rsidRPr="00CC632B">
        <w:t xml:space="preserve"> от места повреждения, оставшегося после предыдущего испытания. Если остаточное тление или устойчивое горение не наблюдается и на этот раз, то испытания прекращают.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5.5.10. Измеряют ширину, высоту и глубину повреждения (в мм), фиксируют время устойчивого горения образца (в с).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5.6. Оценка результатов испытаний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5.6.1. Комбинация материалов классифицируется как легковоспламеняемая по одному из следующих признаков: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горение или тление распространилось за время испытаний до верхней или нижней границы испытательного стенда или на всю толщину материала;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 xml:space="preserve">образец обуглился на расстоянии более </w:t>
      </w:r>
      <w:smartTag w:uri="urn:schemas-microsoft-com:office:smarttags" w:element="metricconverter">
        <w:smartTagPr>
          <w:attr w:name="ProductID" w:val="100 мм"/>
        </w:smartTagPr>
        <w:r w:rsidRPr="00CC632B">
          <w:t>100 мм</w:t>
        </w:r>
      </w:smartTag>
      <w:r w:rsidRPr="00CC632B">
        <w:t xml:space="preserve"> в любом из направлений от места воздействия тлеющей сигареты;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наблюдается устойчивое горение образца после удаления газовой горелки в течение более 120 с.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5.6.2. Если перечисленные признаки не наблюдаются, то комбинация материалов не может быть отнесена к легковоспламеняемой.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5.6.3. Если по результатом одного испытания комбинация материалов является легковоспламеняемой, а по результатам второго не может быть отнесена к этой группе, то данную комбинацию материалов следует отнести к числу легковоспламеняемых.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5.7. Результаты испытаний оформляют в виде протокола, который должен включать в себя: ссылку на нормативный документ, в соответствии с которым проводились испытания; дату и условия проведения испытаний; полную характеристику и состав испытываемых материалов; размеры повреждения по ширине, глубине и высоте (в мм) для вертикальной и горизонтальной частей испытательного стенда (для каждого испытания); время устойчивого горения или остаточного тления (для каждого испытания); время воздействия источника зажигания; наличие признаков тления внутри образца; особенности горения или тления (например, плавление, обугливание и пр.).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6. ОПРЕДЕЛЕНИЕ ВОСПЛАМЕНЯЕМОСТИ ШТОР И ЗАНАВЕСЕЙ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Оценку воспламеняемости штор и занавесей проводят по ГОСТ Р 50810.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rPr>
          <w:rStyle w:val="a4"/>
        </w:rPr>
        <w:t>7. ОПРЕДЕЛЕНИЕ ВОСПЛАМЕНЯЕМОСТИ МАТЕРИАЛОВ, ИСПОЛЬЗУЕМЫХ ДЛЯ ПОСТЕЛЬНЫХ ПРИНАДЛЕЖНОСТЕЙ, МЯГКОЙ МЕБЕЛИ, ШТОР И ЗАНАВЕСЕЙ, ПОСЛЕ ИХ ОГНЕЗАЩИТНОЙ ОБРАБОТКИ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lastRenderedPageBreak/>
        <w:t>7.1. Для оценки эффективности огнезащиты текстильных материалов, используемых для постельных принадлежностей, мягкой мебели, штор и занавесей, необходимо определить воспламеняемость этих материалов после их обработки ОЗСВ.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7.2. ОЗСВ должны иметь ТД на их производство и применение, утвержденную и согласованную в установленном порядке. Применение ОЗСВ должно осуществляться в соответствии с ТД.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7.3. Содержание и построение ТД должно соответствовать требованиям действующих нормативных документов.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7.4. ОЗСВ должны быть упакованы в тару с соответствующей маркировкой, не допускающую утраты их огнезащитных свойств в течение установленного срока годности при соблюдении условий хранения и транспортирования и отвечающую требованиям ТД.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7.5. Рабочий состав (компоненты состава) ОЗСВ должен наноситься рекомендуемыми в ТД способами. Жизнеспособность рабочего состава должна обеспечивать возможность его нанесения в течение времени, определенного в ТД на применение средства огнезащиты.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7.6. Текстильные материалы с огнезащитной обработкой должны быть подвергнуты ускоренному гидролизу и испытаны на воспламеняемость до гидролиза и после него. Ускоренный гидролиз проводят в соответствии с п. 5.3 ГОСТ Р 50810-95.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7.7. Средство огнезащиты считается эффективным, если обработанные им материалы имеют следующие характеристики: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материалы, используемые для изготовления постельных принадлежностей, а также материалы, применяемые для изготовления элементов мягкой мебели, в соответствии с требованиями настоящих норм не могут быть отнесены к группе легковоспламеняемых материалов;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материалы, используемые для изготовления штор и занавесей, классифицируются как трудновоспламеняемые по ГОСТ Р 50810.</w:t>
      </w:r>
    </w:p>
    <w:p w:rsidR="003024FF" w:rsidRPr="00CC632B" w:rsidRDefault="003024FF" w:rsidP="00E47011">
      <w:pPr>
        <w:pStyle w:val="a3"/>
        <w:ind w:firstLine="567"/>
        <w:jc w:val="both"/>
      </w:pPr>
      <w:r w:rsidRPr="00CC632B">
        <w:t>7.8. Последующая обработка текстильных материалов ОЗСВ должна проводиться с периодичностью, указанной в ТД на ОЗСВ.</w:t>
      </w:r>
    </w:p>
    <w:p w:rsidR="00C86879" w:rsidRPr="00CC632B" w:rsidRDefault="00C86879"/>
    <w:sectPr w:rsidR="00C86879" w:rsidRPr="00CC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FF"/>
    <w:rsid w:val="00000D1D"/>
    <w:rsid w:val="00007A7E"/>
    <w:rsid w:val="000243D0"/>
    <w:rsid w:val="00030FE4"/>
    <w:rsid w:val="00032354"/>
    <w:rsid w:val="000402D7"/>
    <w:rsid w:val="0004346C"/>
    <w:rsid w:val="000508FA"/>
    <w:rsid w:val="0005472F"/>
    <w:rsid w:val="00054C1F"/>
    <w:rsid w:val="0007353E"/>
    <w:rsid w:val="00091105"/>
    <w:rsid w:val="00094BD0"/>
    <w:rsid w:val="000B03B8"/>
    <w:rsid w:val="000C4781"/>
    <w:rsid w:val="000C6F0F"/>
    <w:rsid w:val="000D43BB"/>
    <w:rsid w:val="000D6B10"/>
    <w:rsid w:val="000F5762"/>
    <w:rsid w:val="000F6832"/>
    <w:rsid w:val="001114F1"/>
    <w:rsid w:val="001230CF"/>
    <w:rsid w:val="0012367D"/>
    <w:rsid w:val="00125E63"/>
    <w:rsid w:val="001364F7"/>
    <w:rsid w:val="00191B2D"/>
    <w:rsid w:val="00193AC6"/>
    <w:rsid w:val="001A0B4B"/>
    <w:rsid w:val="001A2D1F"/>
    <w:rsid w:val="001A57E2"/>
    <w:rsid w:val="001C142A"/>
    <w:rsid w:val="001C6866"/>
    <w:rsid w:val="001D2208"/>
    <w:rsid w:val="001F0A0C"/>
    <w:rsid w:val="001F689E"/>
    <w:rsid w:val="00201F0A"/>
    <w:rsid w:val="00202D10"/>
    <w:rsid w:val="00206EDD"/>
    <w:rsid w:val="00211D28"/>
    <w:rsid w:val="00220D00"/>
    <w:rsid w:val="00225AA4"/>
    <w:rsid w:val="0025408B"/>
    <w:rsid w:val="00263934"/>
    <w:rsid w:val="00264973"/>
    <w:rsid w:val="00266584"/>
    <w:rsid w:val="002700EB"/>
    <w:rsid w:val="002767BA"/>
    <w:rsid w:val="002805E3"/>
    <w:rsid w:val="00286EEB"/>
    <w:rsid w:val="00297FBB"/>
    <w:rsid w:val="002A63D4"/>
    <w:rsid w:val="002A6630"/>
    <w:rsid w:val="002B19A8"/>
    <w:rsid w:val="002B248D"/>
    <w:rsid w:val="002B78D0"/>
    <w:rsid w:val="002B7C98"/>
    <w:rsid w:val="002B7EEC"/>
    <w:rsid w:val="002D74BC"/>
    <w:rsid w:val="002E3E5B"/>
    <w:rsid w:val="002E76D5"/>
    <w:rsid w:val="002E7954"/>
    <w:rsid w:val="002F484E"/>
    <w:rsid w:val="00300A57"/>
    <w:rsid w:val="003024FF"/>
    <w:rsid w:val="003117C3"/>
    <w:rsid w:val="0031635D"/>
    <w:rsid w:val="003356D0"/>
    <w:rsid w:val="00360E8A"/>
    <w:rsid w:val="00366C19"/>
    <w:rsid w:val="00367A6F"/>
    <w:rsid w:val="00370622"/>
    <w:rsid w:val="00372AD4"/>
    <w:rsid w:val="00387EA4"/>
    <w:rsid w:val="00392E97"/>
    <w:rsid w:val="003A0449"/>
    <w:rsid w:val="003A5F1D"/>
    <w:rsid w:val="003B72FF"/>
    <w:rsid w:val="003C08D5"/>
    <w:rsid w:val="003D447F"/>
    <w:rsid w:val="003E35FA"/>
    <w:rsid w:val="003F2987"/>
    <w:rsid w:val="003F32AF"/>
    <w:rsid w:val="003F4603"/>
    <w:rsid w:val="003F495F"/>
    <w:rsid w:val="00402CF1"/>
    <w:rsid w:val="00431ED8"/>
    <w:rsid w:val="004407FD"/>
    <w:rsid w:val="00443619"/>
    <w:rsid w:val="004535FA"/>
    <w:rsid w:val="00453C7E"/>
    <w:rsid w:val="00454071"/>
    <w:rsid w:val="00462C76"/>
    <w:rsid w:val="00462D3C"/>
    <w:rsid w:val="0047658A"/>
    <w:rsid w:val="0048651E"/>
    <w:rsid w:val="004A7973"/>
    <w:rsid w:val="004B0136"/>
    <w:rsid w:val="004C158B"/>
    <w:rsid w:val="004C7C77"/>
    <w:rsid w:val="004D18FA"/>
    <w:rsid w:val="004D3D45"/>
    <w:rsid w:val="004E612F"/>
    <w:rsid w:val="004F5226"/>
    <w:rsid w:val="00504609"/>
    <w:rsid w:val="00524035"/>
    <w:rsid w:val="00527375"/>
    <w:rsid w:val="00531123"/>
    <w:rsid w:val="00540EB6"/>
    <w:rsid w:val="00542B1A"/>
    <w:rsid w:val="00556D55"/>
    <w:rsid w:val="00560EBE"/>
    <w:rsid w:val="00572578"/>
    <w:rsid w:val="005D1C41"/>
    <w:rsid w:val="005F3230"/>
    <w:rsid w:val="005F7942"/>
    <w:rsid w:val="00606523"/>
    <w:rsid w:val="006100DC"/>
    <w:rsid w:val="006126A4"/>
    <w:rsid w:val="00627D41"/>
    <w:rsid w:val="00631224"/>
    <w:rsid w:val="006375D6"/>
    <w:rsid w:val="00640E94"/>
    <w:rsid w:val="0065509A"/>
    <w:rsid w:val="0066384C"/>
    <w:rsid w:val="006646FB"/>
    <w:rsid w:val="00674612"/>
    <w:rsid w:val="006A1BE6"/>
    <w:rsid w:val="006B036D"/>
    <w:rsid w:val="006B15B4"/>
    <w:rsid w:val="006B1CE9"/>
    <w:rsid w:val="006D0030"/>
    <w:rsid w:val="006E152A"/>
    <w:rsid w:val="006E3518"/>
    <w:rsid w:val="006F361D"/>
    <w:rsid w:val="0071242E"/>
    <w:rsid w:val="00714CDF"/>
    <w:rsid w:val="00725836"/>
    <w:rsid w:val="00736A25"/>
    <w:rsid w:val="007378B7"/>
    <w:rsid w:val="007412B0"/>
    <w:rsid w:val="007640DE"/>
    <w:rsid w:val="00785B1C"/>
    <w:rsid w:val="007A0867"/>
    <w:rsid w:val="007A3C8F"/>
    <w:rsid w:val="007B42A4"/>
    <w:rsid w:val="007C47C8"/>
    <w:rsid w:val="007C59BE"/>
    <w:rsid w:val="007D7E43"/>
    <w:rsid w:val="007E2504"/>
    <w:rsid w:val="007F3D9E"/>
    <w:rsid w:val="007F6C76"/>
    <w:rsid w:val="00801317"/>
    <w:rsid w:val="0080470A"/>
    <w:rsid w:val="00811BDE"/>
    <w:rsid w:val="0081406F"/>
    <w:rsid w:val="00842C2D"/>
    <w:rsid w:val="008612E7"/>
    <w:rsid w:val="008633D0"/>
    <w:rsid w:val="008657B9"/>
    <w:rsid w:val="00872CA5"/>
    <w:rsid w:val="00885D3F"/>
    <w:rsid w:val="00893717"/>
    <w:rsid w:val="008A3B65"/>
    <w:rsid w:val="008C2D13"/>
    <w:rsid w:val="008C354D"/>
    <w:rsid w:val="008C4F3C"/>
    <w:rsid w:val="008D0DA1"/>
    <w:rsid w:val="008D67A7"/>
    <w:rsid w:val="008E2E3D"/>
    <w:rsid w:val="008F2815"/>
    <w:rsid w:val="008F5166"/>
    <w:rsid w:val="00901FFD"/>
    <w:rsid w:val="00910097"/>
    <w:rsid w:val="00931C6C"/>
    <w:rsid w:val="00932220"/>
    <w:rsid w:val="00934322"/>
    <w:rsid w:val="00934E54"/>
    <w:rsid w:val="0094577C"/>
    <w:rsid w:val="00947E44"/>
    <w:rsid w:val="00980ED9"/>
    <w:rsid w:val="00984571"/>
    <w:rsid w:val="009C5C4C"/>
    <w:rsid w:val="009D1AC0"/>
    <w:rsid w:val="009F6715"/>
    <w:rsid w:val="009F773E"/>
    <w:rsid w:val="00A01388"/>
    <w:rsid w:val="00A032B4"/>
    <w:rsid w:val="00A034E4"/>
    <w:rsid w:val="00A15FCD"/>
    <w:rsid w:val="00A175A2"/>
    <w:rsid w:val="00A221BA"/>
    <w:rsid w:val="00A3026E"/>
    <w:rsid w:val="00A32592"/>
    <w:rsid w:val="00A4098E"/>
    <w:rsid w:val="00A4600C"/>
    <w:rsid w:val="00A54E5C"/>
    <w:rsid w:val="00A55E95"/>
    <w:rsid w:val="00A61883"/>
    <w:rsid w:val="00A64616"/>
    <w:rsid w:val="00A7197F"/>
    <w:rsid w:val="00A8736E"/>
    <w:rsid w:val="00A90555"/>
    <w:rsid w:val="00AB05A5"/>
    <w:rsid w:val="00AC346B"/>
    <w:rsid w:val="00AC391E"/>
    <w:rsid w:val="00AC4AA5"/>
    <w:rsid w:val="00AC5C7E"/>
    <w:rsid w:val="00AD40BE"/>
    <w:rsid w:val="00AE0081"/>
    <w:rsid w:val="00B01B23"/>
    <w:rsid w:val="00B025BE"/>
    <w:rsid w:val="00B05942"/>
    <w:rsid w:val="00B06D1E"/>
    <w:rsid w:val="00B07F38"/>
    <w:rsid w:val="00B12F25"/>
    <w:rsid w:val="00B16F7B"/>
    <w:rsid w:val="00B219D5"/>
    <w:rsid w:val="00B33A2E"/>
    <w:rsid w:val="00B36171"/>
    <w:rsid w:val="00B36F41"/>
    <w:rsid w:val="00B4363E"/>
    <w:rsid w:val="00B43AB2"/>
    <w:rsid w:val="00B45798"/>
    <w:rsid w:val="00B5108E"/>
    <w:rsid w:val="00B910F4"/>
    <w:rsid w:val="00BC2F77"/>
    <w:rsid w:val="00BC685A"/>
    <w:rsid w:val="00BD31C1"/>
    <w:rsid w:val="00BD3B45"/>
    <w:rsid w:val="00BE3AB0"/>
    <w:rsid w:val="00BE6699"/>
    <w:rsid w:val="00BF6F63"/>
    <w:rsid w:val="00C16680"/>
    <w:rsid w:val="00C20E2D"/>
    <w:rsid w:val="00C2322C"/>
    <w:rsid w:val="00C2412B"/>
    <w:rsid w:val="00C251D6"/>
    <w:rsid w:val="00C42782"/>
    <w:rsid w:val="00C4566C"/>
    <w:rsid w:val="00C475EF"/>
    <w:rsid w:val="00C66D74"/>
    <w:rsid w:val="00C73F13"/>
    <w:rsid w:val="00C77781"/>
    <w:rsid w:val="00C81410"/>
    <w:rsid w:val="00C8143A"/>
    <w:rsid w:val="00C86879"/>
    <w:rsid w:val="00C914DC"/>
    <w:rsid w:val="00C97B3B"/>
    <w:rsid w:val="00CA56FF"/>
    <w:rsid w:val="00CC632B"/>
    <w:rsid w:val="00CC79D7"/>
    <w:rsid w:val="00CD0A2E"/>
    <w:rsid w:val="00CE3C7A"/>
    <w:rsid w:val="00CE4347"/>
    <w:rsid w:val="00CE5F64"/>
    <w:rsid w:val="00CF0DF9"/>
    <w:rsid w:val="00CF3CFF"/>
    <w:rsid w:val="00D00D8C"/>
    <w:rsid w:val="00D4393B"/>
    <w:rsid w:val="00D46AD8"/>
    <w:rsid w:val="00D54B16"/>
    <w:rsid w:val="00D54D91"/>
    <w:rsid w:val="00D5645A"/>
    <w:rsid w:val="00D60609"/>
    <w:rsid w:val="00D84A99"/>
    <w:rsid w:val="00D858EB"/>
    <w:rsid w:val="00D8688B"/>
    <w:rsid w:val="00D92210"/>
    <w:rsid w:val="00D95FD0"/>
    <w:rsid w:val="00DA38C5"/>
    <w:rsid w:val="00DA6A1D"/>
    <w:rsid w:val="00DB569F"/>
    <w:rsid w:val="00DB7CD4"/>
    <w:rsid w:val="00DC398D"/>
    <w:rsid w:val="00DC4F06"/>
    <w:rsid w:val="00DD3566"/>
    <w:rsid w:val="00DD654A"/>
    <w:rsid w:val="00DF1368"/>
    <w:rsid w:val="00DF5084"/>
    <w:rsid w:val="00DF7C19"/>
    <w:rsid w:val="00E14A8E"/>
    <w:rsid w:val="00E20C27"/>
    <w:rsid w:val="00E40632"/>
    <w:rsid w:val="00E410ED"/>
    <w:rsid w:val="00E43471"/>
    <w:rsid w:val="00E47011"/>
    <w:rsid w:val="00E50A87"/>
    <w:rsid w:val="00E5681F"/>
    <w:rsid w:val="00E56A00"/>
    <w:rsid w:val="00E623F6"/>
    <w:rsid w:val="00E6361B"/>
    <w:rsid w:val="00E7726C"/>
    <w:rsid w:val="00E77812"/>
    <w:rsid w:val="00E86B7D"/>
    <w:rsid w:val="00E92325"/>
    <w:rsid w:val="00E94F79"/>
    <w:rsid w:val="00E9605E"/>
    <w:rsid w:val="00EA2905"/>
    <w:rsid w:val="00EA71CF"/>
    <w:rsid w:val="00EA7920"/>
    <w:rsid w:val="00EB1401"/>
    <w:rsid w:val="00EB6B0C"/>
    <w:rsid w:val="00ED001C"/>
    <w:rsid w:val="00ED1769"/>
    <w:rsid w:val="00ED29CC"/>
    <w:rsid w:val="00ED7A9B"/>
    <w:rsid w:val="00EE5542"/>
    <w:rsid w:val="00EE6264"/>
    <w:rsid w:val="00F24787"/>
    <w:rsid w:val="00F341A8"/>
    <w:rsid w:val="00F45EB0"/>
    <w:rsid w:val="00F51860"/>
    <w:rsid w:val="00F613C4"/>
    <w:rsid w:val="00FA00E5"/>
    <w:rsid w:val="00FA188B"/>
    <w:rsid w:val="00FC36D3"/>
    <w:rsid w:val="00FC71C3"/>
    <w:rsid w:val="00FE37CE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qFormat/>
    <w:rsid w:val="003024F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pb">
    <w:name w:val="npb"/>
    <w:basedOn w:val="a"/>
    <w:rsid w:val="003024FF"/>
    <w:pPr>
      <w:spacing w:before="100" w:beforeAutospacing="1" w:after="100" w:afterAutospacing="1"/>
    </w:pPr>
  </w:style>
  <w:style w:type="paragraph" w:styleId="a3">
    <w:name w:val="Normal (Web)"/>
    <w:basedOn w:val="a"/>
    <w:rsid w:val="003024FF"/>
    <w:pPr>
      <w:spacing w:before="100" w:beforeAutospacing="1" w:after="100" w:afterAutospacing="1"/>
    </w:pPr>
  </w:style>
  <w:style w:type="character" w:styleId="a4">
    <w:name w:val="Strong"/>
    <w:qFormat/>
    <w:rsid w:val="003024FF"/>
    <w:rPr>
      <w:b/>
      <w:bCs/>
    </w:rPr>
  </w:style>
  <w:style w:type="character" w:styleId="a5">
    <w:name w:val="Hyperlink"/>
    <w:rsid w:val="00CC63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qFormat/>
    <w:rsid w:val="003024F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pb">
    <w:name w:val="npb"/>
    <w:basedOn w:val="a"/>
    <w:rsid w:val="003024FF"/>
    <w:pPr>
      <w:spacing w:before="100" w:beforeAutospacing="1" w:after="100" w:afterAutospacing="1"/>
    </w:pPr>
  </w:style>
  <w:style w:type="paragraph" w:styleId="a3">
    <w:name w:val="Normal (Web)"/>
    <w:basedOn w:val="a"/>
    <w:rsid w:val="003024FF"/>
    <w:pPr>
      <w:spacing w:before="100" w:beforeAutospacing="1" w:after="100" w:afterAutospacing="1"/>
    </w:pPr>
  </w:style>
  <w:style w:type="character" w:styleId="a4">
    <w:name w:val="Strong"/>
    <w:qFormat/>
    <w:rsid w:val="003024FF"/>
    <w:rPr>
      <w:b/>
      <w:bCs/>
    </w:rPr>
  </w:style>
  <w:style w:type="character" w:styleId="a5">
    <w:name w:val="Hyperlink"/>
    <w:rsid w:val="00CC6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7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fireman.club/inseklodepia/vosplamenenie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3715</Words>
  <Characters>21179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LinksUpToDate>false</LinksUpToDate>
  <CharactersWithSpaces>24845</CharactersWithSpaces>
  <SharedDoc>false</SharedDoc>
  <HLinks>
    <vt:vector size="6" baseType="variant">
      <vt:variant>
        <vt:i4>5832733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https://fireman.club/inseklodepia/vosplamenenie/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2018-01-13T22:47:00Z</dcterms:created>
  <dcterms:modified xsi:type="dcterms:W3CDTF">2018-01-13T22:47:00Z</dcterms:modified>
</cp:coreProperties>
</file>