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D8" w:rsidRPr="009271EF" w:rsidRDefault="00CA5FD8">
      <w:pPr>
        <w:pStyle w:val="ConsPlusNormal"/>
        <w:jc w:val="right"/>
      </w:pPr>
      <w:proofErr w:type="gramStart"/>
      <w:r w:rsidRPr="009271EF">
        <w:t>Принят</w:t>
      </w:r>
      <w:proofErr w:type="gramEnd"/>
      <w:r w:rsidRPr="009271EF">
        <w:t xml:space="preserve"> и введен в действие</w:t>
      </w:r>
    </w:p>
    <w:p w:rsidR="00CA5FD8" w:rsidRPr="009271EF" w:rsidRDefault="00CA5FD8">
      <w:pPr>
        <w:pStyle w:val="ConsPlusNormal"/>
        <w:jc w:val="right"/>
      </w:pPr>
      <w:r w:rsidRPr="009271EF">
        <w:t>Постановлением Госстандарта России</w:t>
      </w:r>
    </w:p>
    <w:p w:rsidR="00CA5FD8" w:rsidRPr="009271EF" w:rsidRDefault="00CA5FD8">
      <w:pPr>
        <w:pStyle w:val="ConsPlusNormal"/>
        <w:jc w:val="right"/>
      </w:pPr>
      <w:r w:rsidRPr="009271EF">
        <w:t>от 2 ноября 1995 г</w:t>
      </w:r>
      <w:r w:rsidR="00B82FF4" w:rsidRPr="009271EF">
        <w:t>ода</w:t>
      </w:r>
      <w:r w:rsidRPr="009271EF">
        <w:t xml:space="preserve"> </w:t>
      </w:r>
      <w:r w:rsidR="00B82FF4" w:rsidRPr="009271EF">
        <w:t>№</w:t>
      </w:r>
      <w:r w:rsidRPr="009271EF">
        <w:t xml:space="preserve"> 560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Title"/>
        <w:jc w:val="center"/>
      </w:pPr>
      <w:r w:rsidRPr="009271EF">
        <w:t>МЕЖГОСУДАРСТВЕННЫЙ СТАНДАРТ</w:t>
      </w:r>
    </w:p>
    <w:p w:rsidR="00CA5FD8" w:rsidRPr="009271EF" w:rsidRDefault="00CA5FD8">
      <w:pPr>
        <w:pStyle w:val="ConsPlusTitle"/>
        <w:jc w:val="center"/>
      </w:pPr>
    </w:p>
    <w:p w:rsidR="00CA5FD8" w:rsidRPr="009271EF" w:rsidRDefault="00CA5FD8">
      <w:pPr>
        <w:pStyle w:val="ConsPlusTitle"/>
        <w:jc w:val="center"/>
      </w:pPr>
      <w:r w:rsidRPr="009271EF">
        <w:t>БЕЗОПАСНОСТЬ В ЧРЕЗВЫЧАЙНЫХ СИТУАЦИЯХ</w:t>
      </w:r>
    </w:p>
    <w:p w:rsidR="00CA5FD8" w:rsidRPr="009271EF" w:rsidRDefault="00CA5FD8">
      <w:pPr>
        <w:pStyle w:val="ConsPlusTitle"/>
        <w:jc w:val="center"/>
      </w:pPr>
    </w:p>
    <w:p w:rsidR="00CA5FD8" w:rsidRPr="009271EF" w:rsidRDefault="00CA5FD8">
      <w:pPr>
        <w:pStyle w:val="ConsPlusTitle"/>
        <w:jc w:val="center"/>
      </w:pPr>
      <w:r w:rsidRPr="009271EF">
        <w:t>МОНИТОРИНГ И ПРОГНОЗИРОВАНИЕ</w:t>
      </w:r>
    </w:p>
    <w:p w:rsidR="00CA5FD8" w:rsidRPr="009271EF" w:rsidRDefault="00CA5FD8">
      <w:pPr>
        <w:pStyle w:val="ConsPlusTitle"/>
        <w:jc w:val="center"/>
      </w:pPr>
    </w:p>
    <w:p w:rsidR="00CA5FD8" w:rsidRPr="009271EF" w:rsidRDefault="00CA5FD8">
      <w:pPr>
        <w:pStyle w:val="ConsPlusTitle"/>
        <w:jc w:val="center"/>
      </w:pPr>
      <w:r w:rsidRPr="009271EF">
        <w:t>ОСНОВНЫЕ ПОЛОЖЕНИЯ</w:t>
      </w:r>
    </w:p>
    <w:p w:rsidR="00CA5FD8" w:rsidRPr="009271EF" w:rsidRDefault="00CA5FD8">
      <w:pPr>
        <w:pStyle w:val="ConsPlusTitle"/>
        <w:jc w:val="center"/>
      </w:pPr>
    </w:p>
    <w:p w:rsidR="00CA5FD8" w:rsidRPr="009271EF" w:rsidRDefault="00CA5FD8">
      <w:pPr>
        <w:pStyle w:val="ConsPlusTitle"/>
        <w:jc w:val="center"/>
      </w:pPr>
      <w:proofErr w:type="spellStart"/>
      <w:r w:rsidRPr="009271EF">
        <w:t>Safety</w:t>
      </w:r>
      <w:proofErr w:type="spellEnd"/>
      <w:r w:rsidRPr="009271EF">
        <w:t xml:space="preserve"> </w:t>
      </w:r>
      <w:proofErr w:type="spellStart"/>
      <w:r w:rsidRPr="009271EF">
        <w:t>in</w:t>
      </w:r>
      <w:proofErr w:type="spellEnd"/>
      <w:r w:rsidRPr="009271EF">
        <w:t xml:space="preserve"> </w:t>
      </w:r>
      <w:proofErr w:type="spellStart"/>
      <w:r w:rsidRPr="009271EF">
        <w:t>emergencies</w:t>
      </w:r>
      <w:proofErr w:type="spellEnd"/>
      <w:r w:rsidRPr="009271EF">
        <w:t xml:space="preserve">. </w:t>
      </w:r>
      <w:proofErr w:type="spellStart"/>
      <w:r w:rsidRPr="009271EF">
        <w:t>Monitoring</w:t>
      </w:r>
      <w:proofErr w:type="spellEnd"/>
    </w:p>
    <w:p w:rsidR="00CA5FD8" w:rsidRPr="009271EF" w:rsidRDefault="00CA5FD8">
      <w:pPr>
        <w:pStyle w:val="ConsPlusTitle"/>
        <w:jc w:val="center"/>
      </w:pPr>
      <w:proofErr w:type="spellStart"/>
      <w:r w:rsidRPr="009271EF">
        <w:t>and</w:t>
      </w:r>
      <w:proofErr w:type="spellEnd"/>
      <w:r w:rsidRPr="009271EF">
        <w:t xml:space="preserve"> </w:t>
      </w:r>
      <w:proofErr w:type="spellStart"/>
      <w:r w:rsidRPr="009271EF">
        <w:t>forecasting</w:t>
      </w:r>
      <w:proofErr w:type="spellEnd"/>
      <w:r w:rsidRPr="009271EF">
        <w:t xml:space="preserve">. </w:t>
      </w:r>
      <w:proofErr w:type="spellStart"/>
      <w:r w:rsidRPr="009271EF">
        <w:t>Basic</w:t>
      </w:r>
      <w:proofErr w:type="spellEnd"/>
      <w:r w:rsidRPr="009271EF">
        <w:t xml:space="preserve"> </w:t>
      </w:r>
      <w:proofErr w:type="spellStart"/>
      <w:r w:rsidRPr="009271EF">
        <w:t>principles</w:t>
      </w:r>
      <w:proofErr w:type="spellEnd"/>
    </w:p>
    <w:p w:rsidR="00CA5FD8" w:rsidRPr="009271EF" w:rsidRDefault="00CA5FD8">
      <w:pPr>
        <w:pStyle w:val="ConsPlusTitle"/>
        <w:jc w:val="center"/>
      </w:pPr>
    </w:p>
    <w:p w:rsidR="00CA5FD8" w:rsidRPr="009271EF" w:rsidRDefault="00CA5FD8">
      <w:pPr>
        <w:pStyle w:val="ConsPlusTitle"/>
        <w:jc w:val="center"/>
      </w:pPr>
      <w:r w:rsidRPr="009271EF">
        <w:t>ГОСТ 22.1.01-97</w:t>
      </w:r>
      <w:r w:rsidR="00B82FF4" w:rsidRPr="009271EF">
        <w:t xml:space="preserve"> </w:t>
      </w:r>
      <w:r w:rsidRPr="009271EF">
        <w:t>/</w:t>
      </w:r>
      <w:r w:rsidR="00B82FF4" w:rsidRPr="009271EF">
        <w:t xml:space="preserve"> </w:t>
      </w:r>
      <w:r w:rsidRPr="009271EF">
        <w:t xml:space="preserve">ГОСТ </w:t>
      </w:r>
      <w:proofErr w:type="gramStart"/>
      <w:r w:rsidRPr="009271EF">
        <w:t>Р</w:t>
      </w:r>
      <w:proofErr w:type="gramEnd"/>
      <w:r w:rsidRPr="009271EF">
        <w:t xml:space="preserve"> 22.1.01-95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jc w:val="right"/>
      </w:pPr>
      <w:r w:rsidRPr="009271EF">
        <w:t>Группа Т00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jc w:val="right"/>
      </w:pPr>
      <w:r w:rsidRPr="009271EF">
        <w:t>МКС 13.200;</w:t>
      </w:r>
    </w:p>
    <w:p w:rsidR="00CA5FD8" w:rsidRPr="009271EF" w:rsidRDefault="00CA5FD8">
      <w:pPr>
        <w:pStyle w:val="ConsPlusNormal"/>
        <w:jc w:val="right"/>
      </w:pPr>
      <w:bookmarkStart w:id="0" w:name="_GoBack"/>
      <w:bookmarkEnd w:id="0"/>
      <w:r w:rsidRPr="009271EF">
        <w:t>ОКСТУ 0022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jc w:val="right"/>
      </w:pPr>
      <w:r w:rsidRPr="009271EF">
        <w:t>Дата введения</w:t>
      </w:r>
    </w:p>
    <w:p w:rsidR="00CA5FD8" w:rsidRPr="009271EF" w:rsidRDefault="00CA5FD8">
      <w:pPr>
        <w:pStyle w:val="ConsPlusNormal"/>
        <w:jc w:val="right"/>
      </w:pPr>
      <w:r w:rsidRPr="009271EF">
        <w:t>1 января 1997 года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jc w:val="center"/>
        <w:outlineLvl w:val="0"/>
        <w:rPr>
          <w:b/>
        </w:rPr>
      </w:pPr>
      <w:r w:rsidRPr="009271EF">
        <w:rPr>
          <w:b/>
        </w:rPr>
        <w:t>Предисловие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ind w:firstLine="540"/>
        <w:jc w:val="both"/>
      </w:pPr>
      <w:r w:rsidRPr="009271EF">
        <w:t xml:space="preserve">1. </w:t>
      </w:r>
      <w:proofErr w:type="gramStart"/>
      <w:r w:rsidRPr="009271EF">
        <w:t>Разработан</w:t>
      </w:r>
      <w:proofErr w:type="gramEnd"/>
      <w:r w:rsidRPr="009271EF">
        <w:t xml:space="preserve"> Всероссийским научно-исследовательским институтом стандартизации (</w:t>
      </w:r>
      <w:proofErr w:type="spellStart"/>
      <w:r w:rsidRPr="009271EF">
        <w:t>ВНИИстандарт</w:t>
      </w:r>
      <w:proofErr w:type="spellEnd"/>
      <w:r w:rsidRPr="009271EF">
        <w:t xml:space="preserve">) Госстандарта России, доработан с участием рабочей группы специалистов Технического комитета по стандартизации ТК 71 </w:t>
      </w:r>
      <w:r w:rsidR="00B82FF4" w:rsidRPr="009271EF">
        <w:t>«</w:t>
      </w:r>
      <w:r w:rsidRPr="009271EF">
        <w:t xml:space="preserve">Гражданская оборона, предупреждение и ликвидация </w:t>
      </w:r>
      <w:hyperlink r:id="rId9" w:history="1">
        <w:r w:rsidRPr="00B5344D">
          <w:rPr>
            <w:rStyle w:val="a6"/>
            <w:color w:val="auto"/>
            <w:u w:val="none"/>
          </w:rPr>
          <w:t>чрезвычайных ситуаций</w:t>
        </w:r>
      </w:hyperlink>
      <w:r w:rsidR="00B82FF4" w:rsidRPr="009271EF">
        <w:t>»</w:t>
      </w:r>
      <w:r w:rsidRPr="009271EF">
        <w:t>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proofErr w:type="gramStart"/>
      <w:r w:rsidRPr="009271EF">
        <w:t>Внесен</w:t>
      </w:r>
      <w:proofErr w:type="gramEnd"/>
      <w:r w:rsidRPr="009271EF">
        <w:t xml:space="preserve"> Техническим комитетом по стандартизации ТК 71 </w:t>
      </w:r>
      <w:r w:rsidR="00B82FF4" w:rsidRPr="009271EF">
        <w:t>«</w:t>
      </w:r>
      <w:r w:rsidRPr="009271EF">
        <w:t>Гражданская оборона, предупреждение и ликвидация чрезвычайных ситуаций</w:t>
      </w:r>
      <w:r w:rsidR="00B82FF4" w:rsidRPr="009271EF">
        <w:t>»</w:t>
      </w:r>
      <w:r w:rsidRPr="009271EF">
        <w:t>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 xml:space="preserve">2. Принят и введен в действие Постановлением Госстандарта России от 2 ноября 1995 г. </w:t>
      </w:r>
      <w:r w:rsidR="00B82FF4" w:rsidRPr="009271EF">
        <w:t>№</w:t>
      </w:r>
      <w:r w:rsidRPr="009271EF">
        <w:t xml:space="preserve"> 560.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 xml:space="preserve">Постановлением Госстандарта России от 16 апреля 1998 г. </w:t>
      </w:r>
      <w:r w:rsidR="00B82FF4" w:rsidRPr="009271EF">
        <w:t>№</w:t>
      </w:r>
      <w:r w:rsidRPr="009271EF">
        <w:t xml:space="preserve"> 122 ГОСТ 22.1.01-97 введен в действие в качестве государственного стандарта Российской Федерации с момента принятия указанного постановления и признан имеющим одинаковую силу с ГОСТ </w:t>
      </w:r>
      <w:proofErr w:type="gramStart"/>
      <w:r w:rsidRPr="009271EF">
        <w:t>Р</w:t>
      </w:r>
      <w:proofErr w:type="gramEnd"/>
      <w:r w:rsidRPr="009271EF">
        <w:t xml:space="preserve"> 22.1.01-95 на территории Российской Федерации в связи с полной аутентичностью их содержания.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3. Введен впервые.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jc w:val="center"/>
        <w:outlineLvl w:val="0"/>
        <w:rPr>
          <w:b/>
        </w:rPr>
      </w:pPr>
      <w:r w:rsidRPr="009271EF">
        <w:rPr>
          <w:b/>
        </w:rPr>
        <w:t>1. Область применения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ind w:firstLine="540"/>
        <w:jc w:val="both"/>
      </w:pPr>
      <w:r w:rsidRPr="009271EF">
        <w:t>Настоящий стандарт устанавливает основные положения по составу системы мониторинга состояния окружающей среды (далее - мониторинг) и прогнозирования чрезвычайных ситуаций (ЧС), требования к нормативному и метрологическому обеспечению этой системы.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Положения стандарта подлежат применению органами управления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(акваторий) от ЧС.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jc w:val="center"/>
        <w:outlineLvl w:val="0"/>
        <w:rPr>
          <w:b/>
        </w:rPr>
      </w:pPr>
      <w:r w:rsidRPr="009271EF">
        <w:rPr>
          <w:b/>
        </w:rPr>
        <w:t>2. Нормативные ссылки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ind w:firstLine="540"/>
        <w:jc w:val="both"/>
      </w:pPr>
      <w:r w:rsidRPr="009271EF">
        <w:t>В настоящем стандарте использованы ссылки на следующие стандарты: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 xml:space="preserve">ГОСТ </w:t>
      </w:r>
      <w:proofErr w:type="gramStart"/>
      <w:r w:rsidRPr="009271EF">
        <w:t>Р</w:t>
      </w:r>
      <w:proofErr w:type="gramEnd"/>
      <w:r w:rsidRPr="009271EF">
        <w:t xml:space="preserve"> 22.0.02-94</w:t>
      </w:r>
      <w:r w:rsidR="00B82FF4" w:rsidRPr="009271EF">
        <w:rPr>
          <w:rStyle w:val="a5"/>
        </w:rPr>
        <w:footnoteReference w:id="1"/>
      </w:r>
      <w:r w:rsidRPr="009271EF">
        <w:t>. Безопасность в чрезвычайных ситуациях. Термины и определения основных понятий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ind w:firstLine="540"/>
        <w:jc w:val="both"/>
      </w:pPr>
      <w:r w:rsidRPr="009271EF">
        <w:t>ГОСТ 22.0.03-97</w:t>
      </w:r>
      <w:r w:rsidR="00B82FF4" w:rsidRPr="009271EF">
        <w:t xml:space="preserve"> </w:t>
      </w:r>
      <w:r w:rsidRPr="009271EF">
        <w:t>/</w:t>
      </w:r>
      <w:r w:rsidR="00B82FF4" w:rsidRPr="009271EF">
        <w:t xml:space="preserve"> </w:t>
      </w:r>
      <w:r w:rsidRPr="009271EF">
        <w:t xml:space="preserve">ГОСТ </w:t>
      </w:r>
      <w:proofErr w:type="gramStart"/>
      <w:r w:rsidRPr="009271EF">
        <w:t>Р</w:t>
      </w:r>
      <w:proofErr w:type="gramEnd"/>
      <w:r w:rsidRPr="009271EF">
        <w:t xml:space="preserve"> 22.0.03-95. Безопасность в чрезвычайных ситуациях. Природные чрезвычайные ситуации. Термины и определения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ГОСТ 22.0.04-97</w:t>
      </w:r>
      <w:r w:rsidR="00B82FF4" w:rsidRPr="009271EF">
        <w:t xml:space="preserve"> </w:t>
      </w:r>
      <w:r w:rsidRPr="009271EF">
        <w:t>/</w:t>
      </w:r>
      <w:r w:rsidR="00B82FF4" w:rsidRPr="009271EF">
        <w:t xml:space="preserve"> </w:t>
      </w:r>
      <w:r w:rsidRPr="009271EF">
        <w:t xml:space="preserve">ГОСТ </w:t>
      </w:r>
      <w:proofErr w:type="gramStart"/>
      <w:r w:rsidRPr="009271EF">
        <w:t>Р</w:t>
      </w:r>
      <w:proofErr w:type="gramEnd"/>
      <w:r w:rsidRPr="009271EF">
        <w:t xml:space="preserve"> 22.0.04-95. Безопасность в чрезвычайных ситуациях. Биолого-социальные чрезвычайные ситуации. Термины и определения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ГОСТ 22.0.05-97</w:t>
      </w:r>
      <w:r w:rsidR="00B82FF4" w:rsidRPr="009271EF">
        <w:t xml:space="preserve"> </w:t>
      </w:r>
      <w:r w:rsidRPr="009271EF">
        <w:t>/</w:t>
      </w:r>
      <w:r w:rsidR="00B82FF4" w:rsidRPr="009271EF">
        <w:t xml:space="preserve"> </w:t>
      </w:r>
      <w:r w:rsidRPr="009271EF">
        <w:t xml:space="preserve">ГОСТ </w:t>
      </w:r>
      <w:proofErr w:type="gramStart"/>
      <w:r w:rsidRPr="009271EF">
        <w:t>Р</w:t>
      </w:r>
      <w:proofErr w:type="gramEnd"/>
      <w:r w:rsidRPr="009271EF">
        <w:t xml:space="preserve"> 22.0.05-94. Безопасность в чрезвычайных ситуациях. Техногенные чрезвычайные ситуации. Термины и определения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ГОСТ 22.0.06-97</w:t>
      </w:r>
      <w:r w:rsidR="00B82FF4" w:rsidRPr="009271EF">
        <w:t xml:space="preserve"> </w:t>
      </w:r>
      <w:r w:rsidRPr="009271EF">
        <w:t>/</w:t>
      </w:r>
      <w:r w:rsidR="00B82FF4" w:rsidRPr="009271EF">
        <w:t xml:space="preserve"> </w:t>
      </w:r>
      <w:r w:rsidRPr="009271EF">
        <w:t xml:space="preserve">ГОСТ </w:t>
      </w:r>
      <w:proofErr w:type="gramStart"/>
      <w:r w:rsidRPr="009271EF">
        <w:t>Р</w:t>
      </w:r>
      <w:proofErr w:type="gramEnd"/>
      <w:r w:rsidRPr="009271EF">
        <w:t xml:space="preserve"> 22.0.06-95. Безопасность в чрезвычайных ситуациях. Источники природных чрезвычайных ситуаций. Поражающие факторы. Номенклатура параметров поражающих воздействий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ГОСТ 22.1.02-97</w:t>
      </w:r>
      <w:r w:rsidR="00B82FF4" w:rsidRPr="009271EF">
        <w:t xml:space="preserve"> </w:t>
      </w:r>
      <w:r w:rsidRPr="009271EF">
        <w:t>/</w:t>
      </w:r>
      <w:r w:rsidR="00B82FF4" w:rsidRPr="009271EF">
        <w:t xml:space="preserve"> </w:t>
      </w:r>
      <w:r w:rsidRPr="009271EF">
        <w:t xml:space="preserve">ГОСТ </w:t>
      </w:r>
      <w:proofErr w:type="gramStart"/>
      <w:r w:rsidRPr="009271EF">
        <w:t>Р</w:t>
      </w:r>
      <w:proofErr w:type="gramEnd"/>
      <w:r w:rsidRPr="009271EF">
        <w:t xml:space="preserve"> 22.1.02-95. Безопасность в чрезвычайных ситуациях. Мониторинг и прогнозирование. Термины и определения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ГОСТ 28906-91 (ИСО 7498-84, Доп. 1-84 ИСО 7498-84). Системы обработки информации. Взаимосвязь открытых систем. Базовая эталонная модель.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jc w:val="center"/>
        <w:outlineLvl w:val="0"/>
        <w:rPr>
          <w:b/>
        </w:rPr>
      </w:pPr>
      <w:bookmarkStart w:id="1" w:name="P53"/>
      <w:bookmarkEnd w:id="1"/>
      <w:r w:rsidRPr="009271EF">
        <w:rPr>
          <w:b/>
        </w:rPr>
        <w:t>3. Определения и сокращения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ind w:firstLine="540"/>
        <w:jc w:val="both"/>
      </w:pPr>
      <w:r w:rsidRPr="009271EF">
        <w:t>3.1. В настоящем стандарте применяют следующие термины и определения: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 xml:space="preserve">3.1.1. Мониторинг окружающей среды - по ГОСТ 22.1.02/ГОСТ </w:t>
      </w:r>
      <w:proofErr w:type="gramStart"/>
      <w:r w:rsidRPr="009271EF">
        <w:t>Р</w:t>
      </w:r>
      <w:proofErr w:type="gramEnd"/>
      <w:r w:rsidRPr="009271EF">
        <w:t xml:space="preserve"> 22.1.02.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 xml:space="preserve">3.1.2. Прогнозирование чрезвычайных ситуаций; прогнозирование ЧС - по ГОСТ 22.1.02/ГОСТ </w:t>
      </w:r>
      <w:proofErr w:type="gramStart"/>
      <w:r w:rsidRPr="009271EF">
        <w:t>Р</w:t>
      </w:r>
      <w:proofErr w:type="gramEnd"/>
      <w:r w:rsidRPr="009271EF">
        <w:t xml:space="preserve"> 22.1.02.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3.1.3. Метрологическое обеспечение: установление и применение научных и организационных основ, технических средств, правил и норм, необходимых для достижения единства и требуемой точности измерений.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 w:rsidP="00B82FF4">
      <w:pPr>
        <w:pStyle w:val="ConsPlusNormal"/>
        <w:jc w:val="center"/>
        <w:outlineLvl w:val="0"/>
        <w:rPr>
          <w:b/>
        </w:rPr>
      </w:pPr>
      <w:r w:rsidRPr="009271EF">
        <w:rPr>
          <w:b/>
        </w:rPr>
        <w:t>4. Основные положения по составу системы</w:t>
      </w:r>
      <w:r w:rsidR="00B82FF4" w:rsidRPr="009271EF">
        <w:rPr>
          <w:b/>
        </w:rPr>
        <w:t xml:space="preserve"> </w:t>
      </w:r>
      <w:r w:rsidRPr="009271EF">
        <w:rPr>
          <w:b/>
        </w:rPr>
        <w:t>мониторинга и прогнозирования ЧС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ind w:firstLine="540"/>
        <w:jc w:val="both"/>
      </w:pPr>
      <w:r w:rsidRPr="009271EF">
        <w:t>4.1. Система мониторинга и прогнозирования ЧС состоит из следующих основных элементов: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организационной структуры;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общей модели системы, включая объекты мониторинга;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комплекса технических средств;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моделей ситуации (моделей развития ситуаций);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методов наблюдений, обработки данных, анализа ситуаций и прогнозирования;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lastRenderedPageBreak/>
        <w:t>информационной системы.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4.1.1. Общая модель системы мониторинга отражает возможность развития следующих ЧС: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природных чрезвычайных ситуаций, источником которых являются природные процессы и явления, установленные ГОСТ 22.0.03</w:t>
      </w:r>
      <w:r w:rsidR="00B82FF4" w:rsidRPr="009271EF">
        <w:t xml:space="preserve"> </w:t>
      </w:r>
      <w:r w:rsidRPr="009271EF">
        <w:t>/</w:t>
      </w:r>
      <w:r w:rsidR="00B82FF4" w:rsidRPr="009271EF">
        <w:t xml:space="preserve"> </w:t>
      </w:r>
      <w:r w:rsidRPr="009271EF">
        <w:t xml:space="preserve">ГОСТ </w:t>
      </w:r>
      <w:proofErr w:type="gramStart"/>
      <w:r w:rsidRPr="009271EF">
        <w:t>Р</w:t>
      </w:r>
      <w:proofErr w:type="gramEnd"/>
      <w:r w:rsidRPr="009271EF">
        <w:t xml:space="preserve"> 22.0.03 и ГОСТ 22.0.06</w:t>
      </w:r>
      <w:r w:rsidR="00B82FF4" w:rsidRPr="009271EF">
        <w:t xml:space="preserve"> </w:t>
      </w:r>
      <w:r w:rsidRPr="009271EF">
        <w:t>/</w:t>
      </w:r>
      <w:r w:rsidR="00B82FF4" w:rsidRPr="009271EF">
        <w:t xml:space="preserve"> </w:t>
      </w:r>
      <w:r w:rsidRPr="009271EF">
        <w:t>ГОСТ Р 22.0.06;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биолого-социальных чрезвычайных ситуаций, установленных в ГОСТ 22.0.04</w:t>
      </w:r>
      <w:r w:rsidR="00B82FF4" w:rsidRPr="009271EF">
        <w:t xml:space="preserve"> </w:t>
      </w:r>
      <w:r w:rsidRPr="009271EF">
        <w:t>/</w:t>
      </w:r>
      <w:r w:rsidR="00B82FF4" w:rsidRPr="009271EF">
        <w:t xml:space="preserve"> </w:t>
      </w:r>
      <w:r w:rsidRPr="009271EF">
        <w:t xml:space="preserve">ГОСТ </w:t>
      </w:r>
      <w:proofErr w:type="gramStart"/>
      <w:r w:rsidRPr="009271EF">
        <w:t>Р</w:t>
      </w:r>
      <w:proofErr w:type="gramEnd"/>
      <w:r w:rsidRPr="009271EF">
        <w:t xml:space="preserve"> 22.0.04;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техногенных чрезвычайных ситуаций, установленных в ГОСТ 22.0.05</w:t>
      </w:r>
      <w:r w:rsidR="00B82FF4" w:rsidRPr="009271EF">
        <w:t xml:space="preserve"> </w:t>
      </w:r>
      <w:r w:rsidRPr="009271EF">
        <w:t>/</w:t>
      </w:r>
      <w:r w:rsidR="00B82FF4" w:rsidRPr="009271EF">
        <w:t xml:space="preserve"> </w:t>
      </w:r>
      <w:r w:rsidRPr="009271EF">
        <w:t xml:space="preserve">ГОСТ </w:t>
      </w:r>
      <w:proofErr w:type="gramStart"/>
      <w:r w:rsidRPr="009271EF">
        <w:t>Р</w:t>
      </w:r>
      <w:proofErr w:type="gramEnd"/>
      <w:r w:rsidRPr="009271EF">
        <w:t xml:space="preserve"> 22.0.05;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чрезвычайных ситуаций в результате применения современных средств поражения: ядерного, бактериологического, химического оружия и других специальных средств поражения.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4.1.2. Организационная структура в общем случае включает в себя: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орган управления системы мониторинга соответствующего уровня (по 4.2);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службу наблюдения и контроля (совокупность постов, станций наблюдения и контроля);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службу сбора и обработки информации и выработки рекомендаций по комплексу мероприятий, направленных на предупреждение возникновения ЧС или уменьшения их вредного воздействия на окружающую среду и человека;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службу технического обеспечения деятельности системы.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4.1.3. Комплекс технических средств должен удовлетворять целям наблюдения и контроля: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обеспечивать осуществление измерения требуемых параметров;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обладать необходимой для оценки состояния окружающей среды точностью, достоверностью, оперативностью, уровнем автоматизации (в соответствии с моделью ЧС).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4.1.4. Модели ЧС (модели развития ситуаций) должны содержать: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общее описание ситуаций в зависимости от процесса его проявления;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комплекс характеристик, входных измеряемых параметров состояния окружающей среды, позволяющих идентифицировать ситуацию в целом и отдельные этапы ее развития;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критерии принятия решений.</w:t>
      </w:r>
    </w:p>
    <w:p w:rsidR="00CA5FD8" w:rsidRPr="009271EF" w:rsidRDefault="00CA5FD8">
      <w:pPr>
        <w:pStyle w:val="ConsPlusNormal"/>
        <w:spacing w:before="220"/>
        <w:ind w:firstLine="540"/>
        <w:jc w:val="both"/>
        <w:rPr>
          <w:i/>
        </w:rPr>
      </w:pPr>
      <w:r w:rsidRPr="009271EF">
        <w:rPr>
          <w:i/>
        </w:rPr>
        <w:t>Примечание. При наличии взаимосвязанных источников ЧС модель должна содержать также перечень источников ЧС и механизм их взаимодействия.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ind w:firstLine="540"/>
        <w:jc w:val="both"/>
      </w:pPr>
      <w:r w:rsidRPr="009271EF">
        <w:t>4.1.5. Методы наблюдения и контроля должны содержать: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описание наблюдаемых процессов, явлений и перечень наблюдаемых параметров;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значения наблюдаемых параметров, принятых в качестве нормальных, допустимых и критических;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режим наблюдений - непрерывный или периодический;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точность измерений наблюдаемых параметров;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lastRenderedPageBreak/>
        <w:t>правила (алгоритм) обработки результатов наблюдений и форму их представления.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4.1.6. Методы прогнозирования ЧС включают: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описание прогнозируемых процессов, явлений;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перечень исходных данных для прогнозирования;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правила оценки репрезентативности исходных данных;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алгоритм прогноза (включая оценку достоверности результатов) и требования к программному и техническому обеспечению;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перечень выходных данных.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4.1.7. Информационная система мониторинга представляет собой распределенную автоматизированную систему оперативного обмена информацией и содержит сеть центров коммутации и абонентских пунктов, обеспечивающую обмен данными, подготовку, сбор, хранение, обработку, анализ и рассылку информации.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Система должна строиться в соответствии с базовой эталонной моделью взаимодействия открытых систем по ГОСТ 28906 и иметь унифицированный интерфейс для связи с различными прикладными задачами.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Система должна обеспечивать безопасность и конфиденциальность информации, а также свободный доступ абонентам.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Информационная система мониторинга должна иметь организационное, программное, техническое, математическое, методическое, лингвистическое, метрологическое и правовое обеспечение.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bookmarkStart w:id="2" w:name="P105"/>
      <w:bookmarkEnd w:id="2"/>
      <w:r w:rsidRPr="009271EF">
        <w:t xml:space="preserve">4.2. В зависимости от масштаба ЧС, установленного в ГОСТ </w:t>
      </w:r>
      <w:proofErr w:type="gramStart"/>
      <w:r w:rsidRPr="009271EF">
        <w:t>Р</w:t>
      </w:r>
      <w:proofErr w:type="gramEnd"/>
      <w:r w:rsidRPr="009271EF">
        <w:t xml:space="preserve"> 22.0.02, различают пять уровней (ступеней) мониторинга: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глобальный;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национальный;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региональный;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местный;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локальный.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Каждый нижеследующий уровень мониторинга входит составной частью в вышеперечисленный уровень.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jc w:val="center"/>
        <w:outlineLvl w:val="0"/>
        <w:rPr>
          <w:b/>
        </w:rPr>
      </w:pPr>
      <w:r w:rsidRPr="009271EF">
        <w:rPr>
          <w:b/>
        </w:rPr>
        <w:t>5. Требования к нормативному обеспечению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ind w:firstLine="540"/>
        <w:jc w:val="both"/>
      </w:pPr>
      <w:r w:rsidRPr="009271EF">
        <w:t>5.1. Нормативное обеспечение мониторинга окружающей среды и прогнозирования ЧС включает: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законодательные акты;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t>нормативные документы по стандартизации: государственные и межгосударственные стандарты;</w:t>
      </w:r>
    </w:p>
    <w:p w:rsidR="00CA5FD8" w:rsidRPr="009271EF" w:rsidRDefault="00CA5FD8" w:rsidP="00B82FF4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9271EF">
        <w:lastRenderedPageBreak/>
        <w:t>нормативные документы, положения и правила, утверждаемые уполномоченным органом государственного управления.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5.2. Объектами нормативного обеспечения являются элементы системы мониторинга и прогнозирования ЧС, установленные в разделе 3.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5.3. В состав комплекса нормативных документов мониторинга включают документы, действие которых распространяется на аналогичные объекты в других областях деятельности, а также специально разрабатываемые документы. Специальные документы разрабатывают при отсутствии нормативных документов на аналогичные объекты или при необходимости установить специфические требования.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jc w:val="center"/>
        <w:outlineLvl w:val="0"/>
        <w:rPr>
          <w:b/>
        </w:rPr>
      </w:pPr>
      <w:r w:rsidRPr="009271EF">
        <w:rPr>
          <w:b/>
        </w:rPr>
        <w:t>6. Требования к метрологическому обеспечению</w:t>
      </w:r>
    </w:p>
    <w:p w:rsidR="00CA5FD8" w:rsidRPr="009271EF" w:rsidRDefault="00CA5FD8">
      <w:pPr>
        <w:pStyle w:val="ConsPlusNormal"/>
        <w:ind w:firstLine="540"/>
        <w:jc w:val="both"/>
      </w:pPr>
    </w:p>
    <w:p w:rsidR="00CA5FD8" w:rsidRPr="009271EF" w:rsidRDefault="00CA5FD8">
      <w:pPr>
        <w:pStyle w:val="ConsPlusNormal"/>
        <w:ind w:firstLine="540"/>
        <w:jc w:val="both"/>
      </w:pPr>
      <w:r w:rsidRPr="009271EF">
        <w:t>6.1. Метрологическое обеспечение мониторинга и прогнозирования ЧС осуществляется в целях получения результатов измерений и контроля, использование которых исключает или сводит к допустимому уровню риск принять неправильное решение или получить неверный управляющий сигнал в системах управления.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 xml:space="preserve">6.2. Метрологическое обеспечение мониторинга и прогнозирования ЧС должно быть основано на положениях Закона Российской Федерации </w:t>
      </w:r>
      <w:r w:rsidR="00B82FF4" w:rsidRPr="009271EF">
        <w:t>«</w:t>
      </w:r>
      <w:r w:rsidRPr="009271EF">
        <w:t>Об обеспечении единства измерений</w:t>
      </w:r>
      <w:r w:rsidR="00B82FF4" w:rsidRPr="009271EF">
        <w:t>»</w:t>
      </w:r>
      <w:r w:rsidRPr="009271EF">
        <w:t>, законодательных актах, стандартах и других нормативных документах Государственной системы обеспечения единства измерений.</w:t>
      </w:r>
    </w:p>
    <w:p w:rsidR="00CA5FD8" w:rsidRPr="009271EF" w:rsidRDefault="00CA5FD8">
      <w:pPr>
        <w:pStyle w:val="ConsPlusNormal"/>
        <w:spacing w:before="220"/>
        <w:ind w:firstLine="540"/>
        <w:jc w:val="both"/>
      </w:pPr>
      <w:r w:rsidRPr="009271EF">
        <w:t>6.3. Номенклатура измеряемых величин должна обеспечить оценку и анализ параметров, полно и адекватно отражающих развитие процессов и явлений, их прогноз, и устанавливать на основе создания моделей ситуации (моделей развития ситуации).</w:t>
      </w:r>
    </w:p>
    <w:p w:rsidR="006A1888" w:rsidRPr="009271EF" w:rsidRDefault="00CA5FD8" w:rsidP="00CA5FD8">
      <w:pPr>
        <w:pStyle w:val="ConsPlusNormal"/>
        <w:spacing w:before="220"/>
        <w:ind w:firstLine="540"/>
        <w:jc w:val="both"/>
      </w:pPr>
      <w:r w:rsidRPr="009271EF">
        <w:t xml:space="preserve">6.4. Требования к точности измерений устанавливают, </w:t>
      </w:r>
      <w:proofErr w:type="gramStart"/>
      <w:r w:rsidRPr="009271EF">
        <w:t>исходя из необходимости исключения или снижения до допустимого уровня риска принять</w:t>
      </w:r>
      <w:proofErr w:type="gramEnd"/>
      <w:r w:rsidRPr="009271EF">
        <w:t xml:space="preserve"> неправильное решение о развитии ситуации и на основе значений параметров, принятых в качестве нормальных (фоновых), допустимых и критических.</w:t>
      </w:r>
    </w:p>
    <w:sectPr w:rsidR="006A1888" w:rsidRPr="009271EF" w:rsidSect="006B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27E" w:rsidRDefault="0086427E" w:rsidP="00B82FF4">
      <w:pPr>
        <w:spacing w:after="0" w:line="240" w:lineRule="auto"/>
      </w:pPr>
      <w:r>
        <w:separator/>
      </w:r>
    </w:p>
  </w:endnote>
  <w:endnote w:type="continuationSeparator" w:id="0">
    <w:p w:rsidR="0086427E" w:rsidRDefault="0086427E" w:rsidP="00B82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27E" w:rsidRDefault="0086427E" w:rsidP="00B82FF4">
      <w:pPr>
        <w:spacing w:after="0" w:line="240" w:lineRule="auto"/>
      </w:pPr>
      <w:r>
        <w:separator/>
      </w:r>
    </w:p>
  </w:footnote>
  <w:footnote w:type="continuationSeparator" w:id="0">
    <w:p w:rsidR="0086427E" w:rsidRDefault="0086427E" w:rsidP="00B82FF4">
      <w:pPr>
        <w:spacing w:after="0" w:line="240" w:lineRule="auto"/>
      </w:pPr>
      <w:r>
        <w:continuationSeparator/>
      </w:r>
    </w:p>
  </w:footnote>
  <w:footnote w:id="1">
    <w:p w:rsidR="00B82FF4" w:rsidRPr="00B82FF4" w:rsidRDefault="00B82FF4" w:rsidP="00B82FF4">
      <w:pPr>
        <w:pStyle w:val="a3"/>
        <w:jc w:val="both"/>
        <w:rPr>
          <w:sz w:val="18"/>
        </w:rPr>
      </w:pPr>
      <w:r w:rsidRPr="00B82FF4">
        <w:rPr>
          <w:rStyle w:val="a5"/>
          <w:sz w:val="18"/>
        </w:rPr>
        <w:footnoteRef/>
      </w:r>
      <w:r w:rsidRPr="00B82FF4">
        <w:rPr>
          <w:sz w:val="18"/>
        </w:rPr>
        <w:t xml:space="preserve"> </w:t>
      </w:r>
      <w:r w:rsidRPr="00B82FF4">
        <w:rPr>
          <w:sz w:val="18"/>
        </w:rPr>
        <w:t>Действует на территории Российской Федерации.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7228A"/>
    <w:multiLevelType w:val="hybridMultilevel"/>
    <w:tmpl w:val="9D46293A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D8"/>
    <w:rsid w:val="006A1888"/>
    <w:rsid w:val="0086427E"/>
    <w:rsid w:val="009271EF"/>
    <w:rsid w:val="00B5344D"/>
    <w:rsid w:val="00B82FF4"/>
    <w:rsid w:val="00CA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F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5F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5F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82F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2FF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82FF4"/>
    <w:rPr>
      <w:vertAlign w:val="superscript"/>
    </w:rPr>
  </w:style>
  <w:style w:type="character" w:styleId="a6">
    <w:name w:val="Hyperlink"/>
    <w:basedOn w:val="a0"/>
    <w:uiPriority w:val="99"/>
    <w:unhideWhenUsed/>
    <w:rsid w:val="00B534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F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5F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5F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82F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2FF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82FF4"/>
    <w:rPr>
      <w:vertAlign w:val="superscript"/>
    </w:rPr>
  </w:style>
  <w:style w:type="character" w:styleId="a6">
    <w:name w:val="Hyperlink"/>
    <w:basedOn w:val="a0"/>
    <w:uiPriority w:val="99"/>
    <w:unhideWhenUsed/>
    <w:rsid w:val="00B534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chrezvychajnaya-situa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FFD65-310F-4898-8F68-5FDFC6C2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1404</Words>
  <Characters>8008</Characters>
  <Application>Microsoft Office Word</Application>
  <DocSecurity>0</DocSecurity>
  <Lines>66</Lines>
  <Paragraphs>18</Paragraphs>
  <ScaleCrop>false</ScaleCrop>
  <Company/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2018-02-09T06:35:00Z</dcterms:created>
  <dcterms:modified xsi:type="dcterms:W3CDTF">2018-02-19T18:06:00Z</dcterms:modified>
</cp:coreProperties>
</file>