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B6F" w:rsidRPr="003D31EE" w:rsidRDefault="007C5B6F" w:rsidP="00893DE3">
      <w:pPr>
        <w:pStyle w:val="ConsPlusNormal"/>
        <w:jc w:val="right"/>
        <w:outlineLvl w:val="0"/>
        <w:rPr>
          <w:color w:val="000000" w:themeColor="text1"/>
        </w:rPr>
      </w:pPr>
      <w:proofErr w:type="gramStart"/>
      <w:r w:rsidRPr="003D31EE">
        <w:rPr>
          <w:color w:val="000000" w:themeColor="text1"/>
        </w:rPr>
        <w:t>Принят</w:t>
      </w:r>
      <w:proofErr w:type="gramEnd"/>
      <w:r w:rsidRPr="003D31EE">
        <w:rPr>
          <w:color w:val="000000" w:themeColor="text1"/>
        </w:rPr>
        <w:t xml:space="preserve"> и введен в действие</w:t>
      </w:r>
      <w:r w:rsidR="00893DE3" w:rsidRPr="003D31EE">
        <w:rPr>
          <w:color w:val="000000" w:themeColor="text1"/>
        </w:rPr>
        <w:br/>
      </w:r>
      <w:r w:rsidRPr="003D31EE">
        <w:rPr>
          <w:color w:val="000000" w:themeColor="text1"/>
        </w:rPr>
        <w:t>Постановлением Госстандарта РФ</w:t>
      </w:r>
      <w:r w:rsidR="00893DE3" w:rsidRPr="003D31EE">
        <w:rPr>
          <w:color w:val="000000" w:themeColor="text1"/>
        </w:rPr>
        <w:br/>
      </w:r>
      <w:r w:rsidRPr="003D31EE">
        <w:rPr>
          <w:color w:val="000000" w:themeColor="text1"/>
        </w:rPr>
        <w:t>от 8 апреля 1997 г</w:t>
      </w:r>
      <w:r w:rsidR="00893DE3" w:rsidRPr="003D31EE">
        <w:rPr>
          <w:color w:val="000000" w:themeColor="text1"/>
        </w:rPr>
        <w:t>ода</w:t>
      </w:r>
      <w:r w:rsidRPr="003D31EE">
        <w:rPr>
          <w:color w:val="000000" w:themeColor="text1"/>
        </w:rPr>
        <w:t xml:space="preserve"> </w:t>
      </w:r>
      <w:r w:rsidR="00893DE3" w:rsidRPr="003D31EE">
        <w:rPr>
          <w:color w:val="000000" w:themeColor="text1"/>
        </w:rPr>
        <w:t>№</w:t>
      </w:r>
      <w:r w:rsidRPr="003D31EE">
        <w:rPr>
          <w:color w:val="000000" w:themeColor="text1"/>
        </w:rPr>
        <w:t xml:space="preserve"> 126</w:t>
      </w:r>
    </w:p>
    <w:p w:rsidR="007C5B6F" w:rsidRPr="003D31EE" w:rsidRDefault="007C5B6F">
      <w:pPr>
        <w:pStyle w:val="ConsPlusNormal"/>
        <w:rPr>
          <w:color w:val="000000" w:themeColor="text1"/>
        </w:rPr>
      </w:pP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  <w:r w:rsidRPr="003D31EE">
        <w:rPr>
          <w:color w:val="000000" w:themeColor="text1"/>
        </w:rPr>
        <w:t>ГОСУДАРСТВЕННЫЙ СТАНДАРТ РОССИЙСКОЙ ФЕДЕРАЦИИ</w:t>
      </w: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</w:p>
    <w:p w:rsidR="007C5B6F" w:rsidRPr="003D31EE" w:rsidRDefault="003D31EE">
      <w:pPr>
        <w:pStyle w:val="ConsPlusTitle"/>
        <w:jc w:val="center"/>
        <w:rPr>
          <w:color w:val="000000" w:themeColor="text1"/>
        </w:rPr>
      </w:pPr>
      <w:hyperlink r:id="rId5" w:history="1">
        <w:r w:rsidR="007C5B6F" w:rsidRPr="003D31EE">
          <w:rPr>
            <w:rStyle w:val="a3"/>
            <w:color w:val="000000" w:themeColor="text1"/>
            <w:u w:val="none"/>
          </w:rPr>
          <w:t>ТЕХНИКА ПОЖАРНАЯ</w:t>
        </w:r>
      </w:hyperlink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  <w:r w:rsidRPr="003D31EE">
        <w:rPr>
          <w:color w:val="000000" w:themeColor="text1"/>
        </w:rPr>
        <w:t>ГЕНЕРАТОРЫ ОГНЕТУ</w:t>
      </w:r>
      <w:bookmarkStart w:id="0" w:name="_GoBack"/>
      <w:bookmarkEnd w:id="0"/>
      <w:r w:rsidRPr="003D31EE">
        <w:rPr>
          <w:color w:val="000000" w:themeColor="text1"/>
        </w:rPr>
        <w:t>ШАЩЕГО АЭРОЗОЛЯ</w:t>
      </w: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  <w:r w:rsidRPr="003D31EE">
        <w:rPr>
          <w:color w:val="000000" w:themeColor="text1"/>
        </w:rPr>
        <w:t>ТИПЫ И ОСНОВНЫЕ ПАРАМЕТРЫ</w:t>
      </w: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  <w:proofErr w:type="spellStart"/>
      <w:r w:rsidRPr="003D31EE">
        <w:rPr>
          <w:color w:val="000000" w:themeColor="text1"/>
        </w:rPr>
        <w:t>Fire</w:t>
      </w:r>
      <w:proofErr w:type="spellEnd"/>
      <w:r w:rsidRPr="003D31EE">
        <w:rPr>
          <w:color w:val="000000" w:themeColor="text1"/>
        </w:rPr>
        <w:t xml:space="preserve"> </w:t>
      </w:r>
      <w:proofErr w:type="spellStart"/>
      <w:r w:rsidRPr="003D31EE">
        <w:rPr>
          <w:color w:val="000000" w:themeColor="text1"/>
        </w:rPr>
        <w:t>engineering</w:t>
      </w:r>
      <w:proofErr w:type="spellEnd"/>
      <w:r w:rsidRPr="003D31EE">
        <w:rPr>
          <w:color w:val="000000" w:themeColor="text1"/>
        </w:rPr>
        <w:t xml:space="preserve">. </w:t>
      </w:r>
      <w:proofErr w:type="spellStart"/>
      <w:r w:rsidRPr="003D31EE">
        <w:rPr>
          <w:color w:val="000000" w:themeColor="text1"/>
        </w:rPr>
        <w:t>Generators</w:t>
      </w:r>
      <w:proofErr w:type="spellEnd"/>
      <w:r w:rsidRPr="003D31EE">
        <w:rPr>
          <w:color w:val="000000" w:themeColor="text1"/>
        </w:rPr>
        <w:t xml:space="preserve"> </w:t>
      </w:r>
      <w:proofErr w:type="spellStart"/>
      <w:r w:rsidRPr="003D31EE">
        <w:rPr>
          <w:color w:val="000000" w:themeColor="text1"/>
        </w:rPr>
        <w:t>of</w:t>
      </w:r>
      <w:proofErr w:type="spellEnd"/>
      <w:r w:rsidRPr="003D31EE">
        <w:rPr>
          <w:color w:val="000000" w:themeColor="text1"/>
        </w:rPr>
        <w:t xml:space="preserve"> </w:t>
      </w:r>
      <w:proofErr w:type="spellStart"/>
      <w:r w:rsidRPr="003D31EE">
        <w:rPr>
          <w:color w:val="000000" w:themeColor="text1"/>
        </w:rPr>
        <w:t>extinguishing</w:t>
      </w:r>
      <w:proofErr w:type="spellEnd"/>
      <w:r w:rsidRPr="003D31EE">
        <w:rPr>
          <w:color w:val="000000" w:themeColor="text1"/>
        </w:rPr>
        <w:t xml:space="preserve"> </w:t>
      </w:r>
      <w:proofErr w:type="spellStart"/>
      <w:r w:rsidRPr="003D31EE">
        <w:rPr>
          <w:color w:val="000000" w:themeColor="text1"/>
        </w:rPr>
        <w:t>aerosol</w:t>
      </w:r>
      <w:proofErr w:type="spellEnd"/>
      <w:r w:rsidRPr="003D31EE">
        <w:rPr>
          <w:color w:val="000000" w:themeColor="text1"/>
        </w:rPr>
        <w:t>.</w:t>
      </w: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  <w:proofErr w:type="spellStart"/>
      <w:r w:rsidRPr="003D31EE">
        <w:rPr>
          <w:color w:val="000000" w:themeColor="text1"/>
        </w:rPr>
        <w:t>Types</w:t>
      </w:r>
      <w:proofErr w:type="spellEnd"/>
      <w:r w:rsidRPr="003D31EE">
        <w:rPr>
          <w:color w:val="000000" w:themeColor="text1"/>
        </w:rPr>
        <w:t xml:space="preserve"> </w:t>
      </w:r>
      <w:proofErr w:type="spellStart"/>
      <w:r w:rsidRPr="003D31EE">
        <w:rPr>
          <w:color w:val="000000" w:themeColor="text1"/>
        </w:rPr>
        <w:t>and</w:t>
      </w:r>
      <w:proofErr w:type="spellEnd"/>
      <w:r w:rsidRPr="003D31EE">
        <w:rPr>
          <w:color w:val="000000" w:themeColor="text1"/>
        </w:rPr>
        <w:t xml:space="preserve"> </w:t>
      </w:r>
      <w:proofErr w:type="spellStart"/>
      <w:r w:rsidRPr="003D31EE">
        <w:rPr>
          <w:color w:val="000000" w:themeColor="text1"/>
        </w:rPr>
        <w:t>basic</w:t>
      </w:r>
      <w:proofErr w:type="spellEnd"/>
      <w:r w:rsidRPr="003D31EE">
        <w:rPr>
          <w:color w:val="000000" w:themeColor="text1"/>
        </w:rPr>
        <w:t xml:space="preserve"> </w:t>
      </w:r>
      <w:proofErr w:type="spellStart"/>
      <w:r w:rsidRPr="003D31EE">
        <w:rPr>
          <w:color w:val="000000" w:themeColor="text1"/>
        </w:rPr>
        <w:t>parameters</w:t>
      </w:r>
      <w:proofErr w:type="spellEnd"/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</w:p>
    <w:p w:rsidR="007C5B6F" w:rsidRPr="003D31EE" w:rsidRDefault="007C5B6F">
      <w:pPr>
        <w:pStyle w:val="ConsPlusTitle"/>
        <w:jc w:val="center"/>
        <w:rPr>
          <w:color w:val="000000" w:themeColor="text1"/>
        </w:rPr>
      </w:pPr>
      <w:r w:rsidRPr="003D31EE">
        <w:rPr>
          <w:color w:val="000000" w:themeColor="text1"/>
        </w:rPr>
        <w:t xml:space="preserve">ГОСТ </w:t>
      </w:r>
      <w:proofErr w:type="gramStart"/>
      <w:r w:rsidRPr="003D31EE">
        <w:rPr>
          <w:color w:val="000000" w:themeColor="text1"/>
        </w:rPr>
        <w:t>Р</w:t>
      </w:r>
      <w:proofErr w:type="gramEnd"/>
      <w:r w:rsidRPr="003D31EE">
        <w:rPr>
          <w:color w:val="000000" w:themeColor="text1"/>
        </w:rPr>
        <w:t xml:space="preserve"> 51046-97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  <w:r w:rsidRPr="003D31EE">
        <w:rPr>
          <w:color w:val="000000" w:themeColor="text1"/>
        </w:rPr>
        <w:t>Группа Г88</w:t>
      </w: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  <w:r w:rsidRPr="003D31EE">
        <w:rPr>
          <w:color w:val="000000" w:themeColor="text1"/>
        </w:rPr>
        <w:t>ОКС 13.220.30</w:t>
      </w: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  <w:r w:rsidRPr="003D31EE">
        <w:rPr>
          <w:color w:val="000000" w:themeColor="text1"/>
        </w:rPr>
        <w:t>ОКП 48 5433</w:t>
      </w: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  <w:r w:rsidRPr="003D31EE">
        <w:rPr>
          <w:color w:val="000000" w:themeColor="text1"/>
        </w:rPr>
        <w:t>Дата введения</w:t>
      </w: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  <w:r w:rsidRPr="003D31EE">
        <w:rPr>
          <w:color w:val="000000" w:themeColor="text1"/>
        </w:rPr>
        <w:t>1 января 1998 года</w:t>
      </w: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</w:p>
    <w:p w:rsidR="007C5B6F" w:rsidRPr="003D31EE" w:rsidRDefault="007C5B6F">
      <w:pPr>
        <w:pStyle w:val="ConsPlusNormal"/>
        <w:jc w:val="center"/>
        <w:outlineLvl w:val="1"/>
        <w:rPr>
          <w:b/>
          <w:color w:val="000000" w:themeColor="text1"/>
        </w:rPr>
      </w:pPr>
      <w:r w:rsidRPr="003D31EE">
        <w:rPr>
          <w:b/>
          <w:color w:val="000000" w:themeColor="text1"/>
        </w:rPr>
        <w:t>Предисловие</w:t>
      </w:r>
    </w:p>
    <w:p w:rsidR="007C5B6F" w:rsidRPr="003D31EE" w:rsidRDefault="007C5B6F">
      <w:pPr>
        <w:pStyle w:val="ConsPlusNormal"/>
        <w:jc w:val="center"/>
        <w:rPr>
          <w:color w:val="000000" w:themeColor="text1"/>
        </w:rPr>
      </w:pP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1. </w:t>
      </w:r>
      <w:proofErr w:type="gramStart"/>
      <w:r w:rsidRPr="003D31EE">
        <w:rPr>
          <w:color w:val="000000" w:themeColor="text1"/>
        </w:rPr>
        <w:t>Разработан</w:t>
      </w:r>
      <w:proofErr w:type="gramEnd"/>
      <w:r w:rsidRPr="003D31EE">
        <w:rPr>
          <w:color w:val="000000" w:themeColor="text1"/>
        </w:rPr>
        <w:t xml:space="preserve"> Всероссийским научно-исследовательским институтом противопожарной обороны (ВНИИПО) МВД России.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proofErr w:type="gramStart"/>
      <w:r w:rsidRPr="003D31EE">
        <w:rPr>
          <w:color w:val="000000" w:themeColor="text1"/>
        </w:rPr>
        <w:t>Внесен</w:t>
      </w:r>
      <w:proofErr w:type="gramEnd"/>
      <w:r w:rsidRPr="003D31EE">
        <w:rPr>
          <w:color w:val="000000" w:themeColor="text1"/>
        </w:rPr>
        <w:t xml:space="preserve"> Техническим комитетом по стандартизации МТК 274/643 </w:t>
      </w:r>
      <w:r w:rsidR="00893DE3" w:rsidRPr="003D31EE">
        <w:rPr>
          <w:color w:val="000000" w:themeColor="text1"/>
        </w:rPr>
        <w:t>«</w:t>
      </w:r>
      <w:r w:rsidRPr="003D31EE">
        <w:rPr>
          <w:color w:val="000000" w:themeColor="text1"/>
        </w:rPr>
        <w:t>Пожарная безопасность</w:t>
      </w:r>
      <w:r w:rsidR="00893DE3" w:rsidRPr="003D31EE">
        <w:rPr>
          <w:color w:val="000000" w:themeColor="text1"/>
        </w:rPr>
        <w:t>»</w:t>
      </w:r>
      <w:r w:rsidRPr="003D31EE">
        <w:rPr>
          <w:color w:val="000000" w:themeColor="text1"/>
        </w:rPr>
        <w:t>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2. Принят и введен в действие Постановлением Госстандарта России от 8 апреля 1997 г. </w:t>
      </w:r>
      <w:r w:rsidR="00893DE3" w:rsidRPr="003D31EE">
        <w:rPr>
          <w:color w:val="000000" w:themeColor="text1"/>
        </w:rPr>
        <w:t>№</w:t>
      </w:r>
      <w:r w:rsidR="003D31EE">
        <w:rPr>
          <w:color w:val="000000" w:themeColor="text1"/>
        </w:rPr>
        <w:t> </w:t>
      </w:r>
      <w:r w:rsidRPr="003D31EE">
        <w:rPr>
          <w:color w:val="000000" w:themeColor="text1"/>
        </w:rPr>
        <w:t>126.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3. В настоящем стандарте реализованы нормы Федерального Закона о пожарной безопасности.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4. Введен впервые.</w:t>
      </w: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</w:p>
    <w:p w:rsidR="007C5B6F" w:rsidRPr="003D31EE" w:rsidRDefault="007C5B6F">
      <w:pPr>
        <w:pStyle w:val="ConsPlusNormal"/>
        <w:jc w:val="center"/>
        <w:outlineLvl w:val="1"/>
        <w:rPr>
          <w:b/>
          <w:color w:val="000000" w:themeColor="text1"/>
        </w:rPr>
      </w:pPr>
      <w:r w:rsidRPr="003D31EE">
        <w:rPr>
          <w:b/>
          <w:color w:val="000000" w:themeColor="text1"/>
        </w:rPr>
        <w:t>1. ОБЛАСТЬ ПРИМЕНЕНИЯ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3D31EE">
        <w:rPr>
          <w:color w:val="000000" w:themeColor="text1"/>
        </w:rPr>
        <w:t xml:space="preserve">Настоящий стандарт распространяется на применяемые в стационарных автоматических установках объемного аэрозольного пожаротушения генераторы огнетушащего аэрозоля (далее - ГОА) на основе твердотопливных </w:t>
      </w:r>
      <w:proofErr w:type="spellStart"/>
      <w:r w:rsidRPr="003D31EE">
        <w:rPr>
          <w:color w:val="000000" w:themeColor="text1"/>
        </w:rPr>
        <w:t>аэрозолеобразующих</w:t>
      </w:r>
      <w:proofErr w:type="spellEnd"/>
      <w:r w:rsidRPr="003D31EE">
        <w:rPr>
          <w:color w:val="000000" w:themeColor="text1"/>
        </w:rPr>
        <w:t xml:space="preserve"> огнетушащих составов, предназначенные для получения огнетушащего аэрозоля и подачи его в защищаемое помещение.</w:t>
      </w:r>
      <w:proofErr w:type="gramEnd"/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Настоящий стандарт не распространяется на генераторы огнетушащего аэрозоля, предназначенные для защиты транспортных средств и других объектов, проектируемых по специальным нормам.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Требования, устанавливаемые настоящим стандартом, являются обязательными.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893DE3" w:rsidRPr="003D31EE" w:rsidRDefault="00893DE3">
      <w:pPr>
        <w:pStyle w:val="ConsPlusNormal"/>
        <w:ind w:firstLine="540"/>
        <w:jc w:val="both"/>
        <w:rPr>
          <w:color w:val="000000" w:themeColor="text1"/>
        </w:rPr>
      </w:pPr>
    </w:p>
    <w:p w:rsidR="00893DE3" w:rsidRPr="003D31EE" w:rsidRDefault="00893DE3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jc w:val="center"/>
        <w:outlineLvl w:val="1"/>
        <w:rPr>
          <w:b/>
          <w:color w:val="000000" w:themeColor="text1"/>
        </w:rPr>
      </w:pPr>
      <w:r w:rsidRPr="003D31EE">
        <w:rPr>
          <w:b/>
          <w:color w:val="000000" w:themeColor="text1"/>
        </w:rPr>
        <w:lastRenderedPageBreak/>
        <w:t>2. НОРМАТИВНЫЕ ССЫЛКИ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2.1. В настоящем стандарте использована ссылка на ГОСТ 27331-87 Пожарная техника. Классификация пожаров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jc w:val="center"/>
        <w:outlineLvl w:val="1"/>
        <w:rPr>
          <w:b/>
          <w:color w:val="000000" w:themeColor="text1"/>
        </w:rPr>
      </w:pPr>
      <w:r w:rsidRPr="003D31EE">
        <w:rPr>
          <w:b/>
          <w:color w:val="000000" w:themeColor="text1"/>
        </w:rPr>
        <w:t>3. ОПРЕДЕЛЕНИЯ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3.1. В настоящем стандарте применяют следующие термины с соответствующими определениями и сокращениями: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3.1.1. </w:t>
      </w:r>
      <w:proofErr w:type="spellStart"/>
      <w:r w:rsidRPr="003D31EE">
        <w:rPr>
          <w:b/>
          <w:i/>
          <w:color w:val="000000" w:themeColor="text1"/>
        </w:rPr>
        <w:t>Аэрозолеобразующий</w:t>
      </w:r>
      <w:proofErr w:type="spellEnd"/>
      <w:r w:rsidRPr="003D31EE">
        <w:rPr>
          <w:b/>
          <w:i/>
          <w:color w:val="000000" w:themeColor="text1"/>
        </w:rPr>
        <w:t xml:space="preserve"> огнетушащий состав (АОС)</w:t>
      </w:r>
      <w:r w:rsidRPr="003D31EE">
        <w:rPr>
          <w:color w:val="000000" w:themeColor="text1"/>
        </w:rPr>
        <w:t>: специальный состав, способный к самостоятельному горению без доступа воздуха с образованием огнетушащего аэрозоля.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3.1.2. </w:t>
      </w:r>
      <w:r w:rsidRPr="003D31EE">
        <w:rPr>
          <w:b/>
          <w:i/>
          <w:color w:val="000000" w:themeColor="text1"/>
        </w:rPr>
        <w:t>Огнетушащий аэрозоль (ОА)</w:t>
      </w:r>
      <w:r w:rsidRPr="003D31EE">
        <w:rPr>
          <w:color w:val="000000" w:themeColor="text1"/>
        </w:rPr>
        <w:t xml:space="preserve">: продукты горения </w:t>
      </w:r>
      <w:proofErr w:type="spellStart"/>
      <w:r w:rsidRPr="003D31EE">
        <w:rPr>
          <w:color w:val="000000" w:themeColor="text1"/>
        </w:rPr>
        <w:t>аэрозолеобразующего</w:t>
      </w:r>
      <w:proofErr w:type="spellEnd"/>
      <w:r w:rsidRPr="003D31EE">
        <w:rPr>
          <w:color w:val="000000" w:themeColor="text1"/>
        </w:rPr>
        <w:t xml:space="preserve"> огнетушащего состава, оказывающие огнетушащее действие на очаг пожара.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3.1.3. </w:t>
      </w:r>
      <w:r w:rsidRPr="003D31EE">
        <w:rPr>
          <w:b/>
          <w:i/>
          <w:color w:val="000000" w:themeColor="text1"/>
        </w:rPr>
        <w:t>Генератор огнетушащего аэрозоля (ГОА)</w:t>
      </w:r>
      <w:r w:rsidRPr="003D31EE">
        <w:rPr>
          <w:color w:val="000000" w:themeColor="text1"/>
        </w:rPr>
        <w:t>: устройство для получения огнетушащего аэрозоля с заданными параметрами и подачи его в защищаемое помещение.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3.1.4. </w:t>
      </w:r>
      <w:r w:rsidRPr="003D31EE">
        <w:rPr>
          <w:b/>
          <w:i/>
          <w:color w:val="000000" w:themeColor="text1"/>
        </w:rPr>
        <w:t>Выпускное отверстие генератора</w:t>
      </w:r>
      <w:r w:rsidRPr="003D31EE">
        <w:rPr>
          <w:color w:val="000000" w:themeColor="text1"/>
        </w:rPr>
        <w:t xml:space="preserve">: отверстие генератора, после </w:t>
      </w:r>
      <w:proofErr w:type="gramStart"/>
      <w:r w:rsidRPr="003D31EE">
        <w:rPr>
          <w:color w:val="000000" w:themeColor="text1"/>
        </w:rPr>
        <w:t>выхода</w:t>
      </w:r>
      <w:proofErr w:type="gramEnd"/>
      <w:r w:rsidRPr="003D31EE">
        <w:rPr>
          <w:color w:val="000000" w:themeColor="text1"/>
        </w:rPr>
        <w:t xml:space="preserve"> из которого продукты горения </w:t>
      </w:r>
      <w:proofErr w:type="spellStart"/>
      <w:r w:rsidRPr="003D31EE">
        <w:rPr>
          <w:color w:val="000000" w:themeColor="text1"/>
        </w:rPr>
        <w:t>аэрозолеобразующего</w:t>
      </w:r>
      <w:proofErr w:type="spellEnd"/>
      <w:r w:rsidRPr="003D31EE">
        <w:rPr>
          <w:color w:val="000000" w:themeColor="text1"/>
        </w:rPr>
        <w:t xml:space="preserve"> огнетушащего состава начинают смешиваться с окружающим воздухом.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3.1.5. </w:t>
      </w:r>
      <w:r w:rsidRPr="003D31EE">
        <w:rPr>
          <w:b/>
          <w:i/>
          <w:color w:val="000000" w:themeColor="text1"/>
        </w:rPr>
        <w:t>Тепловой сигнал для пуска ГОА</w:t>
      </w:r>
      <w:r w:rsidRPr="003D31EE">
        <w:rPr>
          <w:color w:val="000000" w:themeColor="text1"/>
        </w:rPr>
        <w:t>: тепловая энергия, подводимая к узлу пуска ГОА и приводящая к его срабатыванию.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3.1.6. </w:t>
      </w:r>
      <w:r w:rsidRPr="003D31EE">
        <w:rPr>
          <w:b/>
          <w:i/>
          <w:color w:val="000000" w:themeColor="text1"/>
        </w:rPr>
        <w:t>Условно герметичное помещение</w:t>
      </w:r>
      <w:r w:rsidRPr="003D31EE">
        <w:rPr>
          <w:color w:val="000000" w:themeColor="text1"/>
        </w:rPr>
        <w:t xml:space="preserve">: помещение, для которого параметр </w:t>
      </w:r>
      <w:proofErr w:type="spellStart"/>
      <w:r w:rsidRPr="003D31EE">
        <w:rPr>
          <w:color w:val="000000" w:themeColor="text1"/>
        </w:rPr>
        <w:t>негерметичности</w:t>
      </w:r>
      <w:proofErr w:type="spellEnd"/>
      <w:r w:rsidRPr="003D31EE">
        <w:rPr>
          <w:color w:val="000000" w:themeColor="text1"/>
        </w:rPr>
        <w:t xml:space="preserve"> не превышает 0,001 </w:t>
      </w:r>
      <w:r w:rsidR="00296004" w:rsidRPr="003D31EE">
        <w:rPr>
          <w:color w:val="000000" w:themeColor="text1"/>
          <w:position w:val="-5"/>
        </w:rPr>
        <w:pict>
          <v:shape id="_x0000_i1025" style="width:20.75pt;height:16.15pt" coordsize="" o:spt="100" adj="0,,0" path="" filled="f" stroked="f">
            <v:stroke joinstyle="miter"/>
            <v:imagedata r:id="rId6" o:title="base_44_8799_32768"/>
            <v:formulas/>
            <v:path o:connecttype="segments"/>
          </v:shape>
        </w:pict>
      </w:r>
      <w:r w:rsidRPr="003D31EE">
        <w:rPr>
          <w:color w:val="000000" w:themeColor="text1"/>
        </w:rPr>
        <w:t>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3.1.7. </w:t>
      </w:r>
      <w:r w:rsidRPr="003D31EE">
        <w:rPr>
          <w:b/>
          <w:i/>
          <w:color w:val="000000" w:themeColor="text1"/>
        </w:rPr>
        <w:t xml:space="preserve">Параметр </w:t>
      </w:r>
      <w:proofErr w:type="spellStart"/>
      <w:r w:rsidRPr="003D31EE">
        <w:rPr>
          <w:b/>
          <w:i/>
          <w:color w:val="000000" w:themeColor="text1"/>
        </w:rPr>
        <w:t>негерметичности</w:t>
      </w:r>
      <w:proofErr w:type="spellEnd"/>
      <w:r w:rsidRPr="003D31EE">
        <w:rPr>
          <w:b/>
          <w:i/>
          <w:color w:val="000000" w:themeColor="text1"/>
        </w:rPr>
        <w:t xml:space="preserve"> защищаемого помещения</w:t>
      </w:r>
      <w:r w:rsidRPr="003D31EE">
        <w:rPr>
          <w:color w:val="000000" w:themeColor="text1"/>
        </w:rPr>
        <w:t xml:space="preserve"> - величина, численно характеризующая </w:t>
      </w:r>
      <w:proofErr w:type="spellStart"/>
      <w:r w:rsidRPr="003D31EE">
        <w:rPr>
          <w:color w:val="000000" w:themeColor="text1"/>
        </w:rPr>
        <w:t>негерметичность</w:t>
      </w:r>
      <w:proofErr w:type="spellEnd"/>
      <w:r w:rsidRPr="003D31EE">
        <w:rPr>
          <w:color w:val="000000" w:themeColor="text1"/>
        </w:rPr>
        <w:t xml:space="preserve"> защищаемого помещения и равная отношению суммарной площади всех постоянно открытых проемов и щелей в защищаемом помещении к объему помещения.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3.1.8. </w:t>
      </w:r>
      <w:r w:rsidRPr="003D31EE">
        <w:rPr>
          <w:b/>
          <w:i/>
          <w:color w:val="000000" w:themeColor="text1"/>
        </w:rPr>
        <w:t>Огнетушащая способность аэрозоля, получаемого при работе ГОА</w:t>
      </w:r>
      <w:r w:rsidRPr="003D31EE">
        <w:rPr>
          <w:color w:val="000000" w:themeColor="text1"/>
        </w:rPr>
        <w:t>: отношение массы заряда АОС в генераторе к максимальному объему условно герметичного помещения, в котором генератор обеспечивает объемное тушение определенных модельных очагов пожара.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3.1.9. </w:t>
      </w:r>
      <w:r w:rsidRPr="003D31EE">
        <w:rPr>
          <w:b/>
          <w:i/>
          <w:color w:val="000000" w:themeColor="text1"/>
        </w:rPr>
        <w:t>Продолжительность (время) подачи огнетушащего аэрозоля</w:t>
      </w:r>
      <w:r w:rsidRPr="003D31EE">
        <w:rPr>
          <w:color w:val="000000" w:themeColor="text1"/>
        </w:rPr>
        <w:t>: время от момента начала до момента окончания истечения ОА из выпускного отверстия генератора.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3.1.10. </w:t>
      </w:r>
      <w:r w:rsidRPr="003D31EE">
        <w:rPr>
          <w:b/>
          <w:i/>
          <w:color w:val="000000" w:themeColor="text1"/>
        </w:rPr>
        <w:t>Узел пуска ГОА</w:t>
      </w:r>
      <w:r w:rsidRPr="003D31EE">
        <w:rPr>
          <w:color w:val="000000" w:themeColor="text1"/>
        </w:rPr>
        <w:t>: устройство, преобразующее электрический тепловой или иной сигнал в энергию, необходимую для воспламенения АОС при приведении генератора огнетушащего аэрозоля в действие.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3.1.11. </w:t>
      </w:r>
      <w:r w:rsidRPr="003D31EE">
        <w:rPr>
          <w:b/>
          <w:i/>
          <w:color w:val="000000" w:themeColor="text1"/>
        </w:rPr>
        <w:t>Инерционность (время срабатывания) генератора</w:t>
      </w:r>
      <w:r w:rsidRPr="003D31EE">
        <w:rPr>
          <w:color w:val="000000" w:themeColor="text1"/>
        </w:rPr>
        <w:t>: промежуток времени от момента подачи электрического, теплового или иного сигнала на пуск до начала истечения огнетушащего аэрозоля из выпускного отверстия ГОА.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3.1.12. </w:t>
      </w:r>
      <w:r w:rsidRPr="003D31EE">
        <w:rPr>
          <w:b/>
          <w:i/>
          <w:color w:val="000000" w:themeColor="text1"/>
        </w:rPr>
        <w:t>Генератор, снаряженный с узлом пуска</w:t>
      </w:r>
      <w:r w:rsidRPr="003D31EE">
        <w:rPr>
          <w:color w:val="000000" w:themeColor="text1"/>
        </w:rPr>
        <w:t>: готовый к применению генератор, содержащий заряд АОС и узел пуска, установленный в соответствии с требованиями технической документации.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3.1.13. </w:t>
      </w:r>
      <w:r w:rsidRPr="003D31EE">
        <w:rPr>
          <w:b/>
          <w:i/>
          <w:color w:val="000000" w:themeColor="text1"/>
        </w:rPr>
        <w:t>Генератор, не снаряженный узлом пуска</w:t>
      </w:r>
      <w:r w:rsidRPr="003D31EE">
        <w:rPr>
          <w:color w:val="000000" w:themeColor="text1"/>
        </w:rPr>
        <w:t>: ГОА, содержащий заряд АОС и разъемное соединение в конструкции для снаряжения узлом пуска при монтаже на защищаемом объекте.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jc w:val="center"/>
        <w:outlineLvl w:val="1"/>
        <w:rPr>
          <w:b/>
          <w:color w:val="000000" w:themeColor="text1"/>
        </w:rPr>
      </w:pPr>
      <w:r w:rsidRPr="003D31EE">
        <w:rPr>
          <w:b/>
          <w:color w:val="000000" w:themeColor="text1"/>
        </w:rPr>
        <w:lastRenderedPageBreak/>
        <w:t>4. ТИПЫ ГЕНЕРАТОРОВ ОГНЕТУШАЩЕГО АЭРОЗОЛЯ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  <w:bookmarkStart w:id="1" w:name="P63"/>
      <w:bookmarkEnd w:id="1"/>
      <w:r w:rsidRPr="003D31EE">
        <w:rPr>
          <w:color w:val="000000" w:themeColor="text1"/>
        </w:rPr>
        <w:t>4.1. По температуре продуктов, образующихся на срезе выпускного отверстия, ГОА подразделяют на три типа: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I - генераторы, при работе которых температура превышает 500</w:t>
      </w:r>
      <w:proofErr w:type="gramStart"/>
      <w:r w:rsidRPr="003D31EE">
        <w:rPr>
          <w:color w:val="000000" w:themeColor="text1"/>
        </w:rPr>
        <w:t xml:space="preserve"> °С</w:t>
      </w:r>
      <w:proofErr w:type="gramEnd"/>
      <w:r w:rsidRPr="003D31EE">
        <w:rPr>
          <w:color w:val="000000" w:themeColor="text1"/>
        </w:rPr>
        <w:t>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II - генераторы, при работе которых температура составляет 130 - 500</w:t>
      </w:r>
      <w:proofErr w:type="gramStart"/>
      <w:r w:rsidRPr="003D31EE">
        <w:rPr>
          <w:color w:val="000000" w:themeColor="text1"/>
        </w:rPr>
        <w:t xml:space="preserve"> °С</w:t>
      </w:r>
      <w:proofErr w:type="gramEnd"/>
      <w:r w:rsidRPr="003D31EE">
        <w:rPr>
          <w:color w:val="000000" w:themeColor="text1"/>
        </w:rPr>
        <w:t>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III - генераторы, при работе которых температура меньше 130 °С.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4.2. По конструктивному исполнению ГОА подразделяют </w:t>
      </w:r>
      <w:proofErr w:type="gramStart"/>
      <w:r w:rsidRPr="003D31EE">
        <w:rPr>
          <w:color w:val="000000" w:themeColor="text1"/>
        </w:rPr>
        <w:t>на</w:t>
      </w:r>
      <w:proofErr w:type="gramEnd"/>
      <w:r w:rsidRPr="003D31EE">
        <w:rPr>
          <w:color w:val="000000" w:themeColor="text1"/>
        </w:rPr>
        <w:t>: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- </w:t>
      </w:r>
      <w:proofErr w:type="gramStart"/>
      <w:r w:rsidRPr="003D31EE">
        <w:rPr>
          <w:color w:val="000000" w:themeColor="text1"/>
        </w:rPr>
        <w:t>снаряженные</w:t>
      </w:r>
      <w:proofErr w:type="gramEnd"/>
      <w:r w:rsidRPr="003D31EE">
        <w:rPr>
          <w:color w:val="000000" w:themeColor="text1"/>
        </w:rPr>
        <w:t xml:space="preserve"> узлом пуска;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- не </w:t>
      </w:r>
      <w:proofErr w:type="gramStart"/>
      <w:r w:rsidRPr="003D31EE">
        <w:rPr>
          <w:color w:val="000000" w:themeColor="text1"/>
        </w:rPr>
        <w:t>снаряженные</w:t>
      </w:r>
      <w:proofErr w:type="gramEnd"/>
      <w:r w:rsidRPr="003D31EE">
        <w:rPr>
          <w:color w:val="000000" w:themeColor="text1"/>
        </w:rPr>
        <w:t xml:space="preserve"> узлом пуска.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4.3. По способу приведения в действие ГОА подразделяют </w:t>
      </w:r>
      <w:proofErr w:type="gramStart"/>
      <w:r w:rsidRPr="003D31EE">
        <w:rPr>
          <w:color w:val="000000" w:themeColor="text1"/>
        </w:rPr>
        <w:t>на</w:t>
      </w:r>
      <w:proofErr w:type="gramEnd"/>
      <w:r w:rsidRPr="003D31EE">
        <w:rPr>
          <w:color w:val="000000" w:themeColor="text1"/>
        </w:rPr>
        <w:t>: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- </w:t>
      </w:r>
      <w:proofErr w:type="gramStart"/>
      <w:r w:rsidRPr="003D31EE">
        <w:rPr>
          <w:color w:val="000000" w:themeColor="text1"/>
        </w:rPr>
        <w:t>запускаемые</w:t>
      </w:r>
      <w:proofErr w:type="gramEnd"/>
      <w:r w:rsidRPr="003D31EE">
        <w:rPr>
          <w:color w:val="000000" w:themeColor="text1"/>
        </w:rPr>
        <w:t xml:space="preserve"> от электрического сигнала;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- </w:t>
      </w:r>
      <w:proofErr w:type="gramStart"/>
      <w:r w:rsidRPr="003D31EE">
        <w:rPr>
          <w:color w:val="000000" w:themeColor="text1"/>
        </w:rPr>
        <w:t>запускаемые</w:t>
      </w:r>
      <w:proofErr w:type="gramEnd"/>
      <w:r w:rsidRPr="003D31EE">
        <w:rPr>
          <w:color w:val="000000" w:themeColor="text1"/>
        </w:rPr>
        <w:t xml:space="preserve"> от теплового сигнала;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- с комбинированным пуском.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jc w:val="center"/>
        <w:outlineLvl w:val="1"/>
        <w:rPr>
          <w:b/>
          <w:color w:val="000000" w:themeColor="text1"/>
        </w:rPr>
      </w:pPr>
      <w:r w:rsidRPr="003D31EE">
        <w:rPr>
          <w:b/>
          <w:color w:val="000000" w:themeColor="text1"/>
        </w:rPr>
        <w:t>5. ОСНОВНЫЕ ПАРАМЕТРЫ ГЕНЕРАТОРОВ ОГНЕТУШАЩЕГО АЭРОЗОЛЯ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5.1. ГОА должны характеризоваться следующими основными параметрами: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- температурой продуктов на срезе выпускного отверстия, °</w:t>
      </w:r>
      <w:proofErr w:type="gramStart"/>
      <w:r w:rsidRPr="003D31EE">
        <w:rPr>
          <w:color w:val="000000" w:themeColor="text1"/>
        </w:rPr>
        <w:t>С</w:t>
      </w:r>
      <w:proofErr w:type="gramEnd"/>
      <w:r w:rsidRPr="003D31EE">
        <w:rPr>
          <w:color w:val="000000" w:themeColor="text1"/>
        </w:rPr>
        <w:t>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- массой АОС в снаряженном генераторе, </w:t>
      </w:r>
      <w:proofErr w:type="gramStart"/>
      <w:r w:rsidRPr="003D31EE">
        <w:rPr>
          <w:color w:val="000000" w:themeColor="text1"/>
        </w:rPr>
        <w:t>кг</w:t>
      </w:r>
      <w:proofErr w:type="gramEnd"/>
      <w:r w:rsidRPr="003D31EE">
        <w:rPr>
          <w:color w:val="000000" w:themeColor="text1"/>
        </w:rPr>
        <w:t>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- огнетушащей способностью аэрозоля, получаемого при работе ГОА, кг/м</w:t>
      </w:r>
      <w:r w:rsidRPr="00296004">
        <w:rPr>
          <w:color w:val="000000" w:themeColor="text1"/>
          <w:vertAlign w:val="superscript"/>
        </w:rPr>
        <w:t>3</w:t>
      </w:r>
      <w:r w:rsidRPr="003D31EE">
        <w:rPr>
          <w:color w:val="000000" w:themeColor="text1"/>
        </w:rPr>
        <w:t>, по отношению к пожарам определенных классов по ГОСТ 27331;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- временем подачи огнетушащего аэрозоля, </w:t>
      </w:r>
      <w:proofErr w:type="gramStart"/>
      <w:r w:rsidRPr="003D31EE">
        <w:rPr>
          <w:color w:val="000000" w:themeColor="text1"/>
        </w:rPr>
        <w:t>с</w:t>
      </w:r>
      <w:proofErr w:type="gramEnd"/>
      <w:r w:rsidRPr="003D31EE">
        <w:rPr>
          <w:color w:val="000000" w:themeColor="text1"/>
        </w:rPr>
        <w:t>;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- инерционностью (временем срабатывания), </w:t>
      </w:r>
      <w:proofErr w:type="gramStart"/>
      <w:r w:rsidRPr="003D31EE">
        <w:rPr>
          <w:color w:val="000000" w:themeColor="text1"/>
        </w:rPr>
        <w:t>с</w:t>
      </w:r>
      <w:proofErr w:type="gramEnd"/>
      <w:r w:rsidRPr="003D31EE">
        <w:rPr>
          <w:color w:val="000000" w:themeColor="text1"/>
        </w:rPr>
        <w:t>.</w:t>
      </w:r>
    </w:p>
    <w:p w:rsidR="007C5B6F" w:rsidRPr="003D31EE" w:rsidRDefault="007C5B6F">
      <w:pPr>
        <w:pStyle w:val="ConsPlusNormal"/>
        <w:spacing w:before="220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5.2. Параметры генераторов огнетушащего аэрозоля, характеризующие типы, должны соответствовать значениям, указанным в таблице 1.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  <w:r w:rsidRPr="003D31EE">
        <w:rPr>
          <w:color w:val="000000" w:themeColor="text1"/>
        </w:rPr>
        <w:t>Таблица 1</w:t>
      </w:r>
    </w:p>
    <w:p w:rsidR="007C5B6F" w:rsidRDefault="007C5B6F" w:rsidP="003D31EE">
      <w:pPr>
        <w:pStyle w:val="ConsPlusNormal"/>
        <w:jc w:val="both"/>
        <w:rPr>
          <w:color w:val="000000" w:themeColor="text1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36"/>
        <w:gridCol w:w="1092"/>
        <w:gridCol w:w="1092"/>
        <w:gridCol w:w="1092"/>
      </w:tblGrid>
      <w:tr w:rsidR="003D31EE" w:rsidRPr="003D31EE" w:rsidTr="003D31EE">
        <w:trPr>
          <w:trHeight w:val="227"/>
        </w:trPr>
        <w:tc>
          <w:tcPr>
            <w:tcW w:w="6136" w:type="dxa"/>
            <w:vMerge w:val="restart"/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Основные параметры генератора</w:t>
            </w:r>
          </w:p>
        </w:tc>
        <w:tc>
          <w:tcPr>
            <w:tcW w:w="3276" w:type="dxa"/>
            <w:gridSpan w:val="3"/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Тип генератора</w:t>
            </w:r>
          </w:p>
        </w:tc>
      </w:tr>
      <w:tr w:rsidR="003D31EE" w:rsidRPr="003D31EE" w:rsidTr="003D31EE">
        <w:tc>
          <w:tcPr>
            <w:tcW w:w="6136" w:type="dxa"/>
            <w:vMerge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II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III</w:t>
            </w:r>
          </w:p>
        </w:tc>
      </w:tr>
      <w:tr w:rsidR="003D31EE" w:rsidRPr="003D31EE" w:rsidTr="003D31EE">
        <w:trPr>
          <w:trHeight w:val="227"/>
        </w:trPr>
        <w:tc>
          <w:tcPr>
            <w:tcW w:w="6136" w:type="dxa"/>
            <w:tcBorders>
              <w:top w:val="nil"/>
            </w:tcBorders>
          </w:tcPr>
          <w:p w:rsidR="003D31EE" w:rsidRPr="003D31EE" w:rsidRDefault="003D31EE" w:rsidP="003D31EE">
            <w:pPr>
              <w:pStyle w:val="ConsPlusNonformat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1. Температура аэрозольных продуктов на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срезе выпускного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отверстия генератора,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°</w:t>
            </w:r>
            <w:proofErr w:type="gramStart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&gt; 500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130-500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&lt; 130</w:t>
            </w:r>
          </w:p>
        </w:tc>
      </w:tr>
      <w:tr w:rsidR="003D31EE" w:rsidRPr="003D31EE" w:rsidTr="003D31EE">
        <w:trPr>
          <w:trHeight w:val="227"/>
        </w:trPr>
        <w:tc>
          <w:tcPr>
            <w:tcW w:w="6136" w:type="dxa"/>
            <w:tcBorders>
              <w:top w:val="nil"/>
            </w:tcBorders>
          </w:tcPr>
          <w:p w:rsidR="003D31EE" w:rsidRPr="003D31EE" w:rsidRDefault="003D31EE" w:rsidP="003D31EE">
            <w:pPr>
              <w:pStyle w:val="ConsPlusNonformat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2. Масса АОС в снаряженном генераторе,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кг</w:t>
            </w:r>
            <w:proofErr w:type="gramEnd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, не более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15,0</w:t>
            </w:r>
          </w:p>
        </w:tc>
      </w:tr>
      <w:tr w:rsidR="003D31EE" w:rsidRPr="003D31EE" w:rsidTr="003D31EE">
        <w:trPr>
          <w:trHeight w:val="227"/>
        </w:trPr>
        <w:tc>
          <w:tcPr>
            <w:tcW w:w="6136" w:type="dxa"/>
            <w:tcBorders>
              <w:top w:val="nil"/>
            </w:tcBorders>
          </w:tcPr>
          <w:p w:rsidR="003D31EE" w:rsidRPr="003D31EE" w:rsidRDefault="003D31EE" w:rsidP="003D31EE">
            <w:pPr>
              <w:pStyle w:val="ConsPlusNonformat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3. Огнетушащая способность аэрозоля,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получаемого при работе ГОА для модельных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очагов класса</w:t>
            </w:r>
            <w:proofErr w:type="gramStart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В</w:t>
            </w:r>
            <w:proofErr w:type="gramEnd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, кг/м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  <w:vertAlign w:val="superscript"/>
              </w:rPr>
              <w:t>3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, не более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0,20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0,7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0,7</w:t>
            </w:r>
          </w:p>
        </w:tc>
      </w:tr>
      <w:tr w:rsidR="003D31EE" w:rsidRPr="003D31EE" w:rsidTr="003D31EE">
        <w:trPr>
          <w:trHeight w:val="227"/>
        </w:trPr>
        <w:tc>
          <w:tcPr>
            <w:tcW w:w="6136" w:type="dxa"/>
            <w:tcBorders>
              <w:top w:val="nil"/>
            </w:tcBorders>
          </w:tcPr>
          <w:p w:rsidR="003D31EE" w:rsidRPr="003D31EE" w:rsidRDefault="003D31EE" w:rsidP="003D31EE">
            <w:pPr>
              <w:pStyle w:val="ConsPlusNonformat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4. Время подачи огнетушащего аэрозоля, </w:t>
            </w:r>
            <w:proofErr w:type="gramStart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с</w:t>
            </w:r>
            <w:proofErr w:type="gramEnd"/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5-200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5-200</w:t>
            </w:r>
          </w:p>
        </w:tc>
        <w:tc>
          <w:tcPr>
            <w:tcW w:w="1092" w:type="dxa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5-200</w:t>
            </w:r>
          </w:p>
        </w:tc>
      </w:tr>
      <w:tr w:rsidR="003D31EE" w:rsidRPr="003D31EE" w:rsidTr="003D31EE">
        <w:trPr>
          <w:trHeight w:val="221"/>
        </w:trPr>
        <w:tc>
          <w:tcPr>
            <w:tcW w:w="6136" w:type="dxa"/>
            <w:vMerge w:val="restart"/>
            <w:tcBorders>
              <w:top w:val="nil"/>
            </w:tcBorders>
          </w:tcPr>
          <w:p w:rsidR="003D31EE" w:rsidRPr="003D31EE" w:rsidRDefault="003D31EE" w:rsidP="003D31EE">
            <w:pPr>
              <w:pStyle w:val="ConsPlusNonformat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lastRenderedPageBreak/>
              <w:t>5. Инерционность (время срабатывания):</w:t>
            </w:r>
          </w:p>
          <w:p w:rsidR="003D31EE" w:rsidRPr="003D31EE" w:rsidRDefault="003D31EE" w:rsidP="003D31EE">
            <w:pPr>
              <w:pStyle w:val="ConsPlusNonformat"/>
              <w:ind w:firstLine="426"/>
              <w:jc w:val="both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для ГОА, </w:t>
            </w:r>
            <w:proofErr w:type="gramStart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запускаемых</w:t>
            </w:r>
            <w:proofErr w:type="gramEnd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от электрического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сигнала,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номинальное значение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(с отклонением, не превышающим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±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0,5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с), с, не более</w:t>
            </w:r>
          </w:p>
          <w:p w:rsidR="003D31EE" w:rsidRPr="003D31EE" w:rsidRDefault="003D31EE" w:rsidP="003D31EE">
            <w:pPr>
              <w:pStyle w:val="ConsPlusNonformat"/>
              <w:ind w:firstLine="426"/>
              <w:jc w:val="both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- для ГОА, </w:t>
            </w:r>
            <w:proofErr w:type="gramStart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запускаемых</w:t>
            </w:r>
            <w:proofErr w:type="gramEnd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от теплового</w:t>
            </w:r>
            <w:r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сигнала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92" w:type="dxa"/>
            <w:tcBorders>
              <w:top w:val="nil"/>
              <w:bottom w:val="nil"/>
            </w:tcBorders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5,0</w:t>
            </w:r>
          </w:p>
        </w:tc>
      </w:tr>
      <w:tr w:rsidR="003D31EE" w:rsidRPr="003D31EE" w:rsidTr="003D31EE">
        <w:tc>
          <w:tcPr>
            <w:tcW w:w="6136" w:type="dxa"/>
            <w:vMerge/>
            <w:tcBorders>
              <w:top w:val="nil"/>
            </w:tcBorders>
          </w:tcPr>
          <w:p w:rsidR="003D31EE" w:rsidRPr="003D31EE" w:rsidRDefault="003D31EE" w:rsidP="003D31EE">
            <w:pPr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3276" w:type="dxa"/>
            <w:gridSpan w:val="3"/>
            <w:tcBorders>
              <w:top w:val="nil"/>
            </w:tcBorders>
            <w:vAlign w:val="center"/>
          </w:tcPr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 xml:space="preserve">В соответствии с </w:t>
            </w:r>
            <w:proofErr w:type="gramStart"/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нормативным</w:t>
            </w:r>
            <w:proofErr w:type="gramEnd"/>
          </w:p>
          <w:p w:rsidR="003D31EE" w:rsidRPr="003D31EE" w:rsidRDefault="003D31EE" w:rsidP="003D31EE">
            <w:pPr>
              <w:pStyle w:val="ConsPlusNonformat"/>
              <w:jc w:val="center"/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</w:pPr>
            <w:r w:rsidRPr="003D31EE">
              <w:rPr>
                <w:rFonts w:asciiTheme="minorHAnsi" w:hAnsiTheme="minorHAnsi" w:cs="Times New Roman"/>
                <w:color w:val="000000" w:themeColor="text1"/>
                <w:sz w:val="22"/>
                <w:szCs w:val="22"/>
              </w:rPr>
              <w:t>документом</w:t>
            </w:r>
          </w:p>
        </w:tc>
      </w:tr>
    </w:tbl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jc w:val="center"/>
        <w:outlineLvl w:val="1"/>
        <w:rPr>
          <w:b/>
          <w:color w:val="000000" w:themeColor="text1"/>
        </w:rPr>
      </w:pPr>
      <w:r w:rsidRPr="003D31EE">
        <w:rPr>
          <w:b/>
          <w:color w:val="000000" w:themeColor="text1"/>
        </w:rPr>
        <w:t>6. СТРУКТУРА ОБОЗНАЧЕНИЯ ГЕНЕРАТОРОВ ОГНЕТУШАЩЕГО АЭРОЗОЛЯ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6.1. Условное обозначение генераторов огнетушащего аэрозоля в ТУ, другой технической документации должно содержать сведения об ГОА в соответствии со следующей структурой: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                                     XXX -  X  - XXX - XXX - XXX - XXX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                                     ─┬─   ─┬─   ─┬─   ─┬─   ─┬─   ─┬─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                                      │     │     │    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Наименование изделия - ГОА            │     │     │    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──────────────────────────────────────┘     │     │    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Тип генератора по 4.1                       │     │    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────────────────────────────────────────────┘     │    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Масса АОС в снаряженном ГОА, кг                   │    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──────────────────────────────────────────────────┘    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Огнетушащая способность аэрозоля, получаемого </w:t>
      </w:r>
      <w:proofErr w:type="gramStart"/>
      <w:r w:rsidRPr="003D31EE">
        <w:rPr>
          <w:color w:val="000000" w:themeColor="text1"/>
        </w:rPr>
        <w:t>при</w:t>
      </w:r>
      <w:proofErr w:type="gramEnd"/>
      <w:r w:rsidRPr="003D31EE">
        <w:rPr>
          <w:color w:val="000000" w:themeColor="text1"/>
        </w:rPr>
        <w:t xml:space="preserve">      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работе ГОА, при тушении модельных очагов класса</w:t>
      </w:r>
      <w:proofErr w:type="gramStart"/>
      <w:r w:rsidRPr="003D31EE">
        <w:rPr>
          <w:color w:val="000000" w:themeColor="text1"/>
        </w:rPr>
        <w:t xml:space="preserve"> В</w:t>
      </w:r>
      <w:proofErr w:type="gramEnd"/>
      <w:r w:rsidRPr="003D31EE">
        <w:rPr>
          <w:color w:val="000000" w:themeColor="text1"/>
        </w:rPr>
        <w:t>, г/м3 │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────────────────────────────────────────────────────────┘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Время подачи огнетушащего аэрозоля, </w:t>
      </w:r>
      <w:proofErr w:type="gramStart"/>
      <w:r w:rsidRPr="003D31EE">
        <w:rPr>
          <w:color w:val="000000" w:themeColor="text1"/>
        </w:rPr>
        <w:t>с</w:t>
      </w:r>
      <w:proofErr w:type="gramEnd"/>
      <w:r w:rsidRPr="003D31EE">
        <w:rPr>
          <w:color w:val="000000" w:themeColor="text1"/>
        </w:rPr>
        <w:t xml:space="preserve">                         │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──────────────────────────────────────────────────────────────┘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Обозначение технических условий, в соответствии с которыми     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изготовлен генератор                                                │</w:t>
      </w:r>
    </w:p>
    <w:p w:rsidR="007C5B6F" w:rsidRPr="003D31EE" w:rsidRDefault="007C5B6F">
      <w:pPr>
        <w:pStyle w:val="ConsPlusNonformat"/>
        <w:jc w:val="both"/>
        <w:rPr>
          <w:color w:val="000000" w:themeColor="text1"/>
        </w:rPr>
      </w:pPr>
      <w:r w:rsidRPr="003D31EE">
        <w:rPr>
          <w:color w:val="000000" w:themeColor="text1"/>
        </w:rPr>
        <w:t>────────────────────────────────────────────────────────────────────┘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>Пример условного обозначения генератора, применяемого в стационарных системах объемного аэрозольного пожаротушения, второго типа (образующего при работе огнетушащий аэрозоль с температурой от 130 до 500 °С), с массой заряда АОС в снаряженном генераторе 2,0 кг, огнетушащей способностью аэрозоля, получаемого при работе ГОА, при тушении модельных очагов класса</w:t>
      </w:r>
      <w:proofErr w:type="gramStart"/>
      <w:r w:rsidRPr="003D31EE">
        <w:rPr>
          <w:color w:val="000000" w:themeColor="text1"/>
        </w:rPr>
        <w:t xml:space="preserve"> В</w:t>
      </w:r>
      <w:proofErr w:type="gramEnd"/>
      <w:r w:rsidRPr="003D31EE">
        <w:rPr>
          <w:color w:val="000000" w:themeColor="text1"/>
        </w:rPr>
        <w:t xml:space="preserve"> равной 47 г/м</w:t>
      </w:r>
      <w:r w:rsidRPr="00296004">
        <w:rPr>
          <w:color w:val="000000" w:themeColor="text1"/>
          <w:vertAlign w:val="superscript"/>
        </w:rPr>
        <w:t>3</w:t>
      </w:r>
      <w:r w:rsidRPr="003D31EE">
        <w:rPr>
          <w:color w:val="000000" w:themeColor="text1"/>
        </w:rPr>
        <w:t>, временем подачи огнетушащего аэрозоля 30 с, по ТУ 4854-003-07509209</w:t>
      </w:r>
    </w:p>
    <w:p w:rsidR="007C5B6F" w:rsidRPr="003D31EE" w:rsidRDefault="007C5B6F">
      <w:pPr>
        <w:pStyle w:val="ConsPlusNormal"/>
        <w:spacing w:before="220"/>
        <w:jc w:val="center"/>
        <w:rPr>
          <w:color w:val="000000" w:themeColor="text1"/>
        </w:rPr>
      </w:pPr>
      <w:r w:rsidRPr="003D31EE">
        <w:rPr>
          <w:color w:val="000000" w:themeColor="text1"/>
        </w:rPr>
        <w:t>ГОА-II-2,00-047-030 - ТУ 4854-003-07509209-94</w:t>
      </w:r>
    </w:p>
    <w:p w:rsidR="00893DE3" w:rsidRPr="003D31EE" w:rsidRDefault="00893DE3">
      <w:pPr>
        <w:rPr>
          <w:rFonts w:ascii="Calibri" w:eastAsia="Times New Roman" w:hAnsi="Calibri" w:cs="Calibri"/>
          <w:color w:val="000000" w:themeColor="text1"/>
          <w:szCs w:val="20"/>
          <w:lang w:eastAsia="ru-RU"/>
        </w:rPr>
      </w:pPr>
      <w:r w:rsidRPr="003D31EE">
        <w:rPr>
          <w:color w:val="000000" w:themeColor="text1"/>
        </w:rPr>
        <w:br w:type="page"/>
      </w:r>
    </w:p>
    <w:p w:rsidR="007C5B6F" w:rsidRPr="003D31EE" w:rsidRDefault="007C5B6F">
      <w:pPr>
        <w:pStyle w:val="ConsPlusNormal"/>
        <w:jc w:val="right"/>
        <w:outlineLvl w:val="0"/>
        <w:rPr>
          <w:color w:val="000000" w:themeColor="text1"/>
        </w:rPr>
      </w:pPr>
      <w:r w:rsidRPr="003D31EE">
        <w:rPr>
          <w:color w:val="000000" w:themeColor="text1"/>
        </w:rPr>
        <w:lastRenderedPageBreak/>
        <w:t>Приложение</w:t>
      </w:r>
      <w:proofErr w:type="gramStart"/>
      <w:r w:rsidRPr="003D31EE">
        <w:rPr>
          <w:color w:val="000000" w:themeColor="text1"/>
        </w:rPr>
        <w:t xml:space="preserve"> А</w:t>
      </w:r>
      <w:proofErr w:type="gramEnd"/>
    </w:p>
    <w:p w:rsidR="007C5B6F" w:rsidRPr="003D31EE" w:rsidRDefault="007C5B6F">
      <w:pPr>
        <w:pStyle w:val="ConsPlusNormal"/>
        <w:jc w:val="right"/>
        <w:rPr>
          <w:color w:val="000000" w:themeColor="text1"/>
        </w:rPr>
      </w:pPr>
      <w:r w:rsidRPr="003D31EE">
        <w:rPr>
          <w:color w:val="000000" w:themeColor="text1"/>
        </w:rPr>
        <w:t>(справочное)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7C5B6F" w:rsidRPr="003D31EE" w:rsidRDefault="007C5B6F">
      <w:pPr>
        <w:pStyle w:val="ConsPlusNormal"/>
        <w:jc w:val="center"/>
        <w:rPr>
          <w:b/>
          <w:color w:val="000000" w:themeColor="text1"/>
        </w:rPr>
      </w:pPr>
      <w:r w:rsidRPr="003D31EE">
        <w:rPr>
          <w:b/>
          <w:color w:val="000000" w:themeColor="text1"/>
        </w:rPr>
        <w:t>БИБЛИОГРАФИЯ</w:t>
      </w:r>
    </w:p>
    <w:p w:rsidR="007C5B6F" w:rsidRPr="003D31EE" w:rsidRDefault="007C5B6F">
      <w:pPr>
        <w:pStyle w:val="ConsPlusNormal"/>
        <w:ind w:firstLine="540"/>
        <w:jc w:val="both"/>
        <w:rPr>
          <w:color w:val="000000" w:themeColor="text1"/>
        </w:rPr>
      </w:pPr>
    </w:p>
    <w:p w:rsidR="006A1888" w:rsidRPr="003D31EE" w:rsidRDefault="007C5B6F" w:rsidP="007C5B6F">
      <w:pPr>
        <w:pStyle w:val="ConsPlusNormal"/>
        <w:ind w:firstLine="540"/>
        <w:jc w:val="both"/>
        <w:rPr>
          <w:color w:val="000000" w:themeColor="text1"/>
        </w:rPr>
      </w:pPr>
      <w:r w:rsidRPr="003D31EE">
        <w:rPr>
          <w:color w:val="000000" w:themeColor="text1"/>
        </w:rPr>
        <w:t xml:space="preserve">[1] ТУ 4854-003-07509209-94 Генераторы огнетушащего аэрозоля </w:t>
      </w:r>
      <w:r w:rsidR="00893DE3" w:rsidRPr="003D31EE">
        <w:rPr>
          <w:color w:val="000000" w:themeColor="text1"/>
        </w:rPr>
        <w:t>«</w:t>
      </w:r>
      <w:r w:rsidRPr="003D31EE">
        <w:rPr>
          <w:color w:val="000000" w:themeColor="text1"/>
        </w:rPr>
        <w:t>ГАБАР-П</w:t>
      </w:r>
      <w:r w:rsidR="00893DE3" w:rsidRPr="003D31EE">
        <w:rPr>
          <w:color w:val="000000" w:themeColor="text1"/>
        </w:rPr>
        <w:t>»</w:t>
      </w:r>
    </w:p>
    <w:sectPr w:rsidR="006A1888" w:rsidRPr="003D31EE" w:rsidSect="00DB1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B6F"/>
    <w:rsid w:val="00296004"/>
    <w:rsid w:val="003D31EE"/>
    <w:rsid w:val="006A1888"/>
    <w:rsid w:val="007C5B6F"/>
    <w:rsid w:val="00893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5B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5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5B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D31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C5B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C5B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C5B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D31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hyperlink" Target="https://fireman.club/inseklodepia/pozharnaya-texnika-protivopozharnaya-texn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1190</Words>
  <Characters>6783</Characters>
  <Application>Microsoft Office Word</Application>
  <DocSecurity>0</DocSecurity>
  <Lines>56</Lines>
  <Paragraphs>15</Paragraphs>
  <ScaleCrop>false</ScaleCrop>
  <Company/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2018-02-27T18:39:00Z</dcterms:created>
  <dcterms:modified xsi:type="dcterms:W3CDTF">2018-02-27T19:09:00Z</dcterms:modified>
</cp:coreProperties>
</file>