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B69" w:rsidRPr="007C6507" w:rsidRDefault="009F0B69" w:rsidP="009F0B69">
      <w:pPr>
        <w:pStyle w:val="ConsPlusNormal"/>
        <w:jc w:val="right"/>
        <w:outlineLvl w:val="0"/>
      </w:pPr>
      <w:proofErr w:type="gramStart"/>
      <w:r w:rsidRPr="007C6507">
        <w:t>Утвержден</w:t>
      </w:r>
      <w:proofErr w:type="gramEnd"/>
      <w:r w:rsidRPr="007C6507">
        <w:t xml:space="preserve"> и введен в действие</w:t>
      </w:r>
      <w:r w:rsidRPr="007C6507">
        <w:br/>
        <w:t>Приказом Федерального</w:t>
      </w:r>
      <w:r w:rsidRPr="007C6507">
        <w:br/>
        <w:t>агентства по техническому</w:t>
      </w:r>
      <w:r w:rsidRPr="007C6507">
        <w:br/>
        <w:t>регулированию и метрологии</w:t>
      </w:r>
      <w:r w:rsidRPr="007C6507">
        <w:br/>
        <w:t>от 29 апреля 2010 г</w:t>
      </w:r>
      <w:r w:rsidR="00802909" w:rsidRPr="007C6507">
        <w:t>ода</w:t>
      </w:r>
      <w:r w:rsidRPr="007C6507">
        <w:t xml:space="preserve"> № 67-ст</w:t>
      </w:r>
    </w:p>
    <w:p w:rsidR="009F0B69" w:rsidRPr="007C6507" w:rsidRDefault="009F0B69">
      <w:pPr>
        <w:pStyle w:val="ConsPlusNormal"/>
        <w:jc w:val="right"/>
      </w:pPr>
    </w:p>
    <w:p w:rsidR="009F0B69" w:rsidRPr="007C6507" w:rsidRDefault="009F0B69">
      <w:pPr>
        <w:pStyle w:val="ConsPlusTitle"/>
        <w:jc w:val="center"/>
      </w:pPr>
      <w:r w:rsidRPr="007C6507">
        <w:t>НАЦИОНАЛЬНЫЙ СТАНДАРТ РОССИЙСКОЙ ФЕДЕРАЦИИ</w:t>
      </w:r>
    </w:p>
    <w:p w:rsidR="009F0B69" w:rsidRPr="007C6507" w:rsidRDefault="009F0B69">
      <w:pPr>
        <w:pStyle w:val="ConsPlusTitle"/>
        <w:jc w:val="center"/>
      </w:pPr>
    </w:p>
    <w:p w:rsidR="009F0B69" w:rsidRPr="007C6507" w:rsidRDefault="00EB0205">
      <w:pPr>
        <w:pStyle w:val="ConsPlusTitle"/>
        <w:jc w:val="center"/>
      </w:pPr>
      <w:hyperlink r:id="rId5" w:history="1">
        <w:r w:rsidR="009F0B69" w:rsidRPr="00A55192">
          <w:rPr>
            <w:rStyle w:val="a4"/>
            <w:color w:val="auto"/>
            <w:u w:val="none"/>
          </w:rPr>
          <w:t>УСТАНОВКИ ПОЖАРОТУШЕНИЯ АВТОМАТИЧЕСКИЕ</w:t>
        </w:r>
      </w:hyperlink>
      <w:r w:rsidR="009F0B69" w:rsidRPr="007C6507">
        <w:t>.</w:t>
      </w:r>
    </w:p>
    <w:p w:rsidR="009F0B69" w:rsidRPr="007C6507" w:rsidRDefault="009F0B69">
      <w:pPr>
        <w:pStyle w:val="ConsPlusTitle"/>
        <w:jc w:val="center"/>
      </w:pPr>
      <w:r w:rsidRPr="007C6507">
        <w:t>ОГНЕТУШАЩИЕ ВЕЩЕСТВА</w:t>
      </w:r>
    </w:p>
    <w:p w:rsidR="009F0B69" w:rsidRPr="007C6507" w:rsidRDefault="009F0B69">
      <w:pPr>
        <w:pStyle w:val="ConsPlusTitle"/>
        <w:jc w:val="center"/>
      </w:pPr>
    </w:p>
    <w:p w:rsidR="009F0B69" w:rsidRPr="007C6507" w:rsidRDefault="009F0B69">
      <w:pPr>
        <w:pStyle w:val="ConsPlusTitle"/>
        <w:jc w:val="center"/>
      </w:pPr>
      <w:r w:rsidRPr="007C6507">
        <w:t>ЧАСТЬ 1</w:t>
      </w:r>
    </w:p>
    <w:p w:rsidR="009F0B69" w:rsidRPr="007C6507" w:rsidRDefault="009F0B69">
      <w:pPr>
        <w:pStyle w:val="ConsPlusTitle"/>
        <w:jc w:val="center"/>
      </w:pPr>
    </w:p>
    <w:p w:rsidR="009F0B69" w:rsidRPr="007C6507" w:rsidRDefault="009F0B69">
      <w:pPr>
        <w:pStyle w:val="ConsPlusTitle"/>
        <w:jc w:val="center"/>
      </w:pPr>
      <w:r w:rsidRPr="007C6507">
        <w:t>ПЕНООБРАЗОВАТЕЛИ ДЛЯ ТУШЕНИЯ ПОЖАРОВ ВОДОРАСТВОРИМЫХ</w:t>
      </w:r>
    </w:p>
    <w:p w:rsidR="009F0B69" w:rsidRPr="007C6507" w:rsidRDefault="009F0B69">
      <w:pPr>
        <w:pStyle w:val="ConsPlusTitle"/>
        <w:jc w:val="center"/>
      </w:pPr>
      <w:r w:rsidRPr="007C6507">
        <w:t>ГОРЮЧИХ ЖИДКОСТЕЙ ПОДАЧЕЙ СВЕРХУ</w:t>
      </w:r>
    </w:p>
    <w:p w:rsidR="009F0B69" w:rsidRPr="007C6507" w:rsidRDefault="009F0B69">
      <w:pPr>
        <w:pStyle w:val="ConsPlusTitle"/>
        <w:jc w:val="center"/>
      </w:pPr>
    </w:p>
    <w:p w:rsidR="009F0B69" w:rsidRPr="007C6507" w:rsidRDefault="009F0B69">
      <w:pPr>
        <w:pStyle w:val="ConsPlusTitle"/>
        <w:jc w:val="center"/>
      </w:pPr>
      <w:r w:rsidRPr="007C6507">
        <w:t>ОБЩИЕ ТЕХНИЧЕСКИЕ ТРЕБОВАНИЯ И МЕТОДЫ ИСПЫТАНИЙ</w:t>
      </w:r>
    </w:p>
    <w:p w:rsidR="009F0B69" w:rsidRPr="007C6507" w:rsidRDefault="009F0B69">
      <w:pPr>
        <w:pStyle w:val="ConsPlusTitle"/>
        <w:jc w:val="center"/>
      </w:pPr>
    </w:p>
    <w:p w:rsidR="009F0B69" w:rsidRPr="007C6507" w:rsidRDefault="009F0B69">
      <w:pPr>
        <w:pStyle w:val="ConsPlusTitle"/>
        <w:jc w:val="center"/>
      </w:pPr>
      <w:proofErr w:type="spellStart"/>
      <w:r w:rsidRPr="007C6507">
        <w:t>Automatic</w:t>
      </w:r>
      <w:proofErr w:type="spellEnd"/>
      <w:r w:rsidRPr="007C6507">
        <w:t xml:space="preserve"> </w:t>
      </w:r>
      <w:proofErr w:type="spellStart"/>
      <w:r w:rsidRPr="007C6507">
        <w:t>fire</w:t>
      </w:r>
      <w:proofErr w:type="spellEnd"/>
      <w:r w:rsidRPr="007C6507">
        <w:t xml:space="preserve"> </w:t>
      </w:r>
      <w:proofErr w:type="spellStart"/>
      <w:r w:rsidRPr="007C6507">
        <w:t>extinguishing</w:t>
      </w:r>
      <w:proofErr w:type="spellEnd"/>
      <w:r w:rsidRPr="007C6507">
        <w:t xml:space="preserve"> </w:t>
      </w:r>
      <w:proofErr w:type="spellStart"/>
      <w:r w:rsidRPr="007C6507">
        <w:t>systems</w:t>
      </w:r>
      <w:proofErr w:type="spellEnd"/>
      <w:r w:rsidRPr="007C6507">
        <w:t xml:space="preserve">. </w:t>
      </w:r>
      <w:proofErr w:type="spellStart"/>
      <w:r w:rsidRPr="007C6507">
        <w:t>Fire</w:t>
      </w:r>
      <w:proofErr w:type="spellEnd"/>
      <w:r w:rsidRPr="007C6507">
        <w:t xml:space="preserve"> </w:t>
      </w:r>
      <w:proofErr w:type="spellStart"/>
      <w:r w:rsidRPr="007C6507">
        <w:t>extinguishing</w:t>
      </w:r>
      <w:proofErr w:type="spellEnd"/>
    </w:p>
    <w:p w:rsidR="009F0B69" w:rsidRPr="007C6507" w:rsidRDefault="009F0B69">
      <w:pPr>
        <w:pStyle w:val="ConsPlusTitle"/>
        <w:jc w:val="center"/>
      </w:pPr>
      <w:proofErr w:type="spellStart"/>
      <w:r w:rsidRPr="007C6507">
        <w:t>media</w:t>
      </w:r>
      <w:proofErr w:type="spellEnd"/>
      <w:r w:rsidRPr="007C6507">
        <w:t xml:space="preserve">. </w:t>
      </w:r>
      <w:proofErr w:type="spellStart"/>
      <w:r w:rsidRPr="007C6507">
        <w:t>Part</w:t>
      </w:r>
      <w:proofErr w:type="spellEnd"/>
      <w:r w:rsidRPr="007C6507">
        <w:t xml:space="preserve"> 1. </w:t>
      </w:r>
      <w:proofErr w:type="spellStart"/>
      <w:r w:rsidRPr="007C6507">
        <w:t>Foam</w:t>
      </w:r>
      <w:proofErr w:type="spellEnd"/>
      <w:r w:rsidRPr="007C6507">
        <w:t xml:space="preserve"> </w:t>
      </w:r>
      <w:proofErr w:type="spellStart"/>
      <w:r w:rsidRPr="007C6507">
        <w:t>fire</w:t>
      </w:r>
      <w:proofErr w:type="spellEnd"/>
      <w:r w:rsidRPr="007C6507">
        <w:t xml:space="preserve"> </w:t>
      </w:r>
      <w:proofErr w:type="spellStart"/>
      <w:r w:rsidRPr="007C6507">
        <w:t>extinguishing</w:t>
      </w:r>
      <w:proofErr w:type="spellEnd"/>
      <w:r w:rsidRPr="007C6507">
        <w:t xml:space="preserve"> </w:t>
      </w:r>
      <w:proofErr w:type="spellStart"/>
      <w:r w:rsidRPr="007C6507">
        <w:t>concentrates</w:t>
      </w:r>
      <w:proofErr w:type="spellEnd"/>
      <w:r w:rsidRPr="007C6507">
        <w:t xml:space="preserve"> </w:t>
      </w:r>
      <w:proofErr w:type="spellStart"/>
      <w:r w:rsidRPr="007C6507">
        <w:t>for</w:t>
      </w:r>
      <w:proofErr w:type="spellEnd"/>
    </w:p>
    <w:p w:rsidR="009F0B69" w:rsidRPr="007C6507" w:rsidRDefault="009F0B69">
      <w:pPr>
        <w:pStyle w:val="ConsPlusTitle"/>
        <w:jc w:val="center"/>
      </w:pPr>
      <w:proofErr w:type="spellStart"/>
      <w:r w:rsidRPr="007C6507">
        <w:t>surface</w:t>
      </w:r>
      <w:proofErr w:type="spellEnd"/>
      <w:r w:rsidRPr="007C6507">
        <w:t xml:space="preserve"> </w:t>
      </w:r>
      <w:proofErr w:type="spellStart"/>
      <w:r w:rsidRPr="007C6507">
        <w:t>application</w:t>
      </w:r>
      <w:proofErr w:type="spellEnd"/>
      <w:r w:rsidRPr="007C6507">
        <w:t xml:space="preserve"> </w:t>
      </w:r>
      <w:proofErr w:type="spellStart"/>
      <w:r w:rsidRPr="007C6507">
        <w:t>to</w:t>
      </w:r>
      <w:proofErr w:type="spellEnd"/>
      <w:r w:rsidRPr="007C6507">
        <w:t xml:space="preserve"> </w:t>
      </w:r>
      <w:proofErr w:type="spellStart"/>
      <w:r w:rsidRPr="007C6507">
        <w:t>water-miscible</w:t>
      </w:r>
      <w:proofErr w:type="spellEnd"/>
      <w:r w:rsidRPr="007C6507">
        <w:t xml:space="preserve"> </w:t>
      </w:r>
      <w:proofErr w:type="spellStart"/>
      <w:r w:rsidRPr="007C6507">
        <w:t>inflammable</w:t>
      </w:r>
      <w:proofErr w:type="spellEnd"/>
      <w:r w:rsidRPr="007C6507">
        <w:t xml:space="preserve"> </w:t>
      </w:r>
      <w:proofErr w:type="spellStart"/>
      <w:r w:rsidRPr="007C6507">
        <w:t>liquids</w:t>
      </w:r>
      <w:proofErr w:type="spellEnd"/>
      <w:r w:rsidRPr="007C6507">
        <w:t>.</w:t>
      </w:r>
    </w:p>
    <w:p w:rsidR="009F0B69" w:rsidRPr="007C6507" w:rsidRDefault="009F0B69">
      <w:pPr>
        <w:pStyle w:val="ConsPlusTitle"/>
        <w:jc w:val="center"/>
      </w:pPr>
      <w:proofErr w:type="spellStart"/>
      <w:r w:rsidRPr="007C6507">
        <w:t>General</w:t>
      </w:r>
      <w:proofErr w:type="spellEnd"/>
      <w:r w:rsidRPr="007C6507">
        <w:t xml:space="preserve"> </w:t>
      </w:r>
      <w:proofErr w:type="spellStart"/>
      <w:r w:rsidRPr="007C6507">
        <w:t>technical</w:t>
      </w:r>
      <w:proofErr w:type="spellEnd"/>
      <w:r w:rsidRPr="007C6507">
        <w:t xml:space="preserve"> </w:t>
      </w:r>
      <w:proofErr w:type="spellStart"/>
      <w:r w:rsidRPr="007C6507">
        <w:t>requirements</w:t>
      </w:r>
      <w:proofErr w:type="spellEnd"/>
      <w:r w:rsidRPr="007C6507">
        <w:t xml:space="preserve"> </w:t>
      </w:r>
      <w:proofErr w:type="spellStart"/>
      <w:r w:rsidRPr="007C6507">
        <w:t>and</w:t>
      </w:r>
      <w:proofErr w:type="spellEnd"/>
      <w:r w:rsidRPr="007C6507">
        <w:t xml:space="preserve"> </w:t>
      </w:r>
      <w:proofErr w:type="spellStart"/>
      <w:r w:rsidRPr="007C6507">
        <w:t>test</w:t>
      </w:r>
      <w:proofErr w:type="spellEnd"/>
      <w:r w:rsidRPr="007C6507">
        <w:t xml:space="preserve"> </w:t>
      </w:r>
      <w:proofErr w:type="spellStart"/>
      <w:r w:rsidRPr="007C6507">
        <w:t>methods</w:t>
      </w:r>
      <w:proofErr w:type="spellEnd"/>
    </w:p>
    <w:p w:rsidR="009F0B69" w:rsidRPr="007C6507" w:rsidRDefault="009F0B69">
      <w:pPr>
        <w:pStyle w:val="ConsPlusTitle"/>
        <w:jc w:val="center"/>
      </w:pPr>
    </w:p>
    <w:p w:rsidR="009F0B69" w:rsidRPr="007C6507" w:rsidRDefault="009F0B69">
      <w:pPr>
        <w:pStyle w:val="ConsPlusTitle"/>
        <w:jc w:val="center"/>
      </w:pPr>
      <w:r w:rsidRPr="007C6507">
        <w:t xml:space="preserve">ГОСТ </w:t>
      </w:r>
      <w:proofErr w:type="gramStart"/>
      <w:r w:rsidRPr="007C6507">
        <w:t>Р</w:t>
      </w:r>
      <w:proofErr w:type="gramEnd"/>
      <w:r w:rsidRPr="007C6507">
        <w:t xml:space="preserve"> 53280.1-2010</w:t>
      </w:r>
    </w:p>
    <w:p w:rsidR="009F0B69" w:rsidRPr="007C6507" w:rsidRDefault="009F0B69">
      <w:pPr>
        <w:pStyle w:val="ConsPlusNormal"/>
        <w:jc w:val="center"/>
      </w:pPr>
    </w:p>
    <w:p w:rsidR="009F0B69" w:rsidRPr="007C6507" w:rsidRDefault="009F0B69">
      <w:pPr>
        <w:pStyle w:val="ConsPlusNormal"/>
        <w:jc w:val="right"/>
      </w:pPr>
      <w:r w:rsidRPr="007C6507">
        <w:t>Группа Л07</w:t>
      </w:r>
    </w:p>
    <w:p w:rsidR="009F0B69" w:rsidRPr="007C6507" w:rsidRDefault="009F0B69">
      <w:pPr>
        <w:pStyle w:val="ConsPlusNormal"/>
        <w:jc w:val="right"/>
      </w:pPr>
    </w:p>
    <w:p w:rsidR="009F0B69" w:rsidRPr="007C6507" w:rsidRDefault="009F0B69">
      <w:pPr>
        <w:pStyle w:val="ConsPlusNormal"/>
        <w:jc w:val="right"/>
      </w:pPr>
      <w:r w:rsidRPr="007C6507">
        <w:t>ОКС 13.220.10</w:t>
      </w:r>
    </w:p>
    <w:p w:rsidR="009F0B69" w:rsidRPr="007C6507" w:rsidRDefault="009F0B69">
      <w:pPr>
        <w:pStyle w:val="ConsPlusNormal"/>
        <w:jc w:val="right"/>
      </w:pPr>
    </w:p>
    <w:p w:rsidR="009F0B69" w:rsidRPr="007C6507" w:rsidRDefault="009F0B69">
      <w:pPr>
        <w:pStyle w:val="ConsPlusNormal"/>
        <w:jc w:val="right"/>
      </w:pPr>
      <w:r w:rsidRPr="007C6507">
        <w:t>ОКП 24 8000</w:t>
      </w:r>
    </w:p>
    <w:p w:rsidR="009F0B69" w:rsidRPr="007C6507" w:rsidRDefault="009F0B69">
      <w:pPr>
        <w:pStyle w:val="ConsPlusNormal"/>
        <w:jc w:val="right"/>
      </w:pPr>
    </w:p>
    <w:p w:rsidR="009F0B69" w:rsidRPr="007C6507" w:rsidRDefault="009F0B69">
      <w:pPr>
        <w:pStyle w:val="ConsPlusNormal"/>
        <w:jc w:val="right"/>
      </w:pPr>
      <w:r w:rsidRPr="007C6507">
        <w:t>Дата введения</w:t>
      </w:r>
    </w:p>
    <w:p w:rsidR="009F0B69" w:rsidRPr="007C6507" w:rsidRDefault="009F0B69">
      <w:pPr>
        <w:pStyle w:val="ConsPlusNormal"/>
        <w:jc w:val="right"/>
      </w:pPr>
      <w:r w:rsidRPr="007C6507">
        <w:t>1 июля 2010 года</w:t>
      </w:r>
    </w:p>
    <w:p w:rsidR="009F0B69" w:rsidRPr="007C6507" w:rsidRDefault="009F0B69">
      <w:pPr>
        <w:pStyle w:val="ConsPlusNormal"/>
        <w:jc w:val="center"/>
      </w:pPr>
    </w:p>
    <w:p w:rsidR="009F0B69" w:rsidRPr="007C6507" w:rsidRDefault="009F0B69">
      <w:pPr>
        <w:pStyle w:val="ConsPlusNormal"/>
        <w:jc w:val="center"/>
        <w:outlineLvl w:val="1"/>
        <w:rPr>
          <w:b/>
        </w:rPr>
      </w:pPr>
      <w:r w:rsidRPr="007C6507">
        <w:rPr>
          <w:b/>
        </w:rPr>
        <w:t>Предисловие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ind w:firstLine="540"/>
        <w:jc w:val="both"/>
      </w:pPr>
      <w:r w:rsidRPr="007C6507">
        <w:t xml:space="preserve">Цели и принципы стандартизации в Российской Федерации установлены Федеральным законом от 27 декабря 2002 г. № 184-ФЗ «О техническом регулировании», а правила применения национальных стандартов Российской Федерации - ГОСТ </w:t>
      </w:r>
      <w:proofErr w:type="gramStart"/>
      <w:r w:rsidRPr="007C6507">
        <w:t>Р</w:t>
      </w:r>
      <w:proofErr w:type="gramEnd"/>
      <w:r w:rsidRPr="007C6507">
        <w:t xml:space="preserve"> 1.0-2004 «Стандартизация в Российской Федерации. Основные положения».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jc w:val="center"/>
        <w:outlineLvl w:val="1"/>
        <w:rPr>
          <w:b/>
        </w:rPr>
      </w:pPr>
      <w:r w:rsidRPr="007C6507">
        <w:rPr>
          <w:b/>
        </w:rPr>
        <w:t>Сведения о стандарте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ind w:firstLine="540"/>
        <w:jc w:val="both"/>
      </w:pPr>
      <w:r w:rsidRPr="007C6507">
        <w:t>1. Разработан Федеральным государственным учреждением «Всероссийский научно-исследовательский институт противопожарной обороны» (ФГУ ВНИИПО) МЧС России.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2. </w:t>
      </w:r>
      <w:proofErr w:type="gramStart"/>
      <w:r w:rsidRPr="007C6507">
        <w:t>Внесен</w:t>
      </w:r>
      <w:proofErr w:type="gramEnd"/>
      <w:r w:rsidRPr="007C6507">
        <w:t xml:space="preserve"> Техническим комитетом по стандартизации ТК 274 «Пожарная безопасность».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3. Утвержден и введен в действие Приказом Федерального агентства по техническому регулированию и метрологии от 29 апреля 2010 г. № 67-ст.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4. </w:t>
      </w:r>
      <w:proofErr w:type="gramStart"/>
      <w:r w:rsidRPr="007C6507">
        <w:t>Введен впервые.</w:t>
      </w:r>
      <w:proofErr w:type="gramEnd"/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ind w:firstLine="540"/>
        <w:jc w:val="both"/>
      </w:pPr>
      <w:r w:rsidRPr="007C6507">
        <w:t xml:space="preserve">Информация об изменениях к настоящему стандарту публикуется в ежегодно издаваемом </w:t>
      </w:r>
      <w:r w:rsidRPr="007C6507">
        <w:lastRenderedPageBreak/>
        <w:t>информационном указателе «Национальные стандарты», а текст изменений и поправок - в ежемесячно издаваемых информационных указателях «Национальные стандарты».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«Национальные стандарты».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jc w:val="center"/>
        <w:outlineLvl w:val="1"/>
        <w:rPr>
          <w:b/>
        </w:rPr>
      </w:pPr>
      <w:r w:rsidRPr="007C6507">
        <w:rPr>
          <w:b/>
        </w:rPr>
        <w:t>1. Область применения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ind w:firstLine="540"/>
        <w:jc w:val="both"/>
      </w:pPr>
      <w:r w:rsidRPr="007C6507">
        <w:t>Настоящий стандарт распространяется на пенообразователи целевого назначения, предназначенные для тушения пожаров водорастворимых горючих жидкостей пеной подачей сверху.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jc w:val="center"/>
        <w:outlineLvl w:val="1"/>
        <w:rPr>
          <w:b/>
        </w:rPr>
      </w:pPr>
      <w:r w:rsidRPr="007C6507">
        <w:rPr>
          <w:b/>
        </w:rPr>
        <w:t>2. Нормативные ссылки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ind w:firstLine="540"/>
        <w:jc w:val="both"/>
      </w:pPr>
      <w:r w:rsidRPr="007C6507">
        <w:t>В настоящем стандарте использованы нормативные ссылки на следующие стандарты: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ГОСТ </w:t>
      </w:r>
      <w:proofErr w:type="gramStart"/>
      <w:r w:rsidRPr="007C6507">
        <w:t>Р</w:t>
      </w:r>
      <w:proofErr w:type="gramEnd"/>
      <w:r w:rsidRPr="007C6507">
        <w:t xml:space="preserve"> 50588-93 Пенообразователи для тушения пожаров. Общие технические требования и методы испытаний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ГОСТ 2603-79 Реактивы. Ацетон. Технические условия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ГОСТ 4209-77 Реактивы. Магний хлористый 6-водный. Технические условия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ГОСТ 6709-72 Вода дистиллированная. Технические условия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ГОСТ 9805-84 Спирт изопропиловый. Технические условия.</w:t>
      </w:r>
    </w:p>
    <w:p w:rsidR="009F0B69" w:rsidRPr="00EB0205" w:rsidRDefault="009F0B69">
      <w:pPr>
        <w:pStyle w:val="ConsPlusNormal"/>
        <w:spacing w:before="220"/>
        <w:ind w:firstLine="540"/>
        <w:jc w:val="both"/>
        <w:rPr>
          <w:i/>
        </w:rPr>
      </w:pPr>
      <w:bookmarkStart w:id="0" w:name="_GoBack"/>
      <w:r w:rsidRPr="00EB0205">
        <w:rPr>
          <w:i/>
        </w:rPr>
        <w:t xml:space="preserve">Примечание. </w:t>
      </w:r>
      <w:proofErr w:type="gramStart"/>
      <w:r w:rsidRPr="00EB0205">
        <w:rPr>
          <w:i/>
        </w:rPr>
        <w:t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«Национальные стандарты»,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EB0205">
        <w:rPr>
          <w:i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bookmarkEnd w:id="0"/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jc w:val="center"/>
        <w:outlineLvl w:val="1"/>
        <w:rPr>
          <w:b/>
        </w:rPr>
      </w:pPr>
      <w:r w:rsidRPr="007C6507">
        <w:rPr>
          <w:b/>
        </w:rPr>
        <w:t>3. Термины и определения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ind w:firstLine="540"/>
        <w:jc w:val="both"/>
      </w:pPr>
      <w:r w:rsidRPr="007C6507">
        <w:t>В настоящем стандарте применены следующие термины с соответствующими определениями: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3.1. </w:t>
      </w:r>
      <w:r w:rsidRPr="007C6507">
        <w:rPr>
          <w:b/>
          <w:i/>
        </w:rPr>
        <w:t>Установка пенного пожаротушения:</w:t>
      </w:r>
      <w:r w:rsidRPr="007C6507">
        <w:t xml:space="preserve"> установка пожаротушения, в которой в качестве огнетушащего вещества используют воздушно-механическую пену, получаемую из водного раствора пенообразователя.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3.2. </w:t>
      </w:r>
      <w:r w:rsidRPr="007C6507">
        <w:rPr>
          <w:b/>
          <w:i/>
        </w:rPr>
        <w:t xml:space="preserve">Пена: </w:t>
      </w:r>
      <w:r w:rsidRPr="007C6507">
        <w:t>дисперсная система, состоящая из ячеек - пузырьков воздуха (газа), разделенных пленками жидкости, содержащей стабилизатор пены.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3.3. </w:t>
      </w:r>
      <w:r w:rsidRPr="007C6507">
        <w:rPr>
          <w:b/>
          <w:i/>
        </w:rPr>
        <w:t>Огнетушащая воздушно-механическая пена:</w:t>
      </w:r>
      <w:r w:rsidRPr="007C6507">
        <w:t xml:space="preserve"> пена, получаемая с помощью специальной аппаратуры за счет </w:t>
      </w:r>
      <w:proofErr w:type="spellStart"/>
      <w:r w:rsidRPr="007C6507">
        <w:t>эжекции</w:t>
      </w:r>
      <w:proofErr w:type="spellEnd"/>
      <w:r w:rsidRPr="007C6507">
        <w:t xml:space="preserve"> или принудительной подачи воздуха или другого газа, предназначенная для тушения пожаров.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lastRenderedPageBreak/>
        <w:t xml:space="preserve">3.4. </w:t>
      </w:r>
      <w:r w:rsidRPr="007C6507">
        <w:rPr>
          <w:b/>
          <w:i/>
        </w:rPr>
        <w:t xml:space="preserve">Кратность пены: </w:t>
      </w:r>
      <w:r w:rsidRPr="007C6507">
        <w:t>безразмерная величина, равная отношению объемов пены и исходного раствора пенообразователя, содержащегося в ней.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3.5. </w:t>
      </w:r>
      <w:r w:rsidRPr="007C6507">
        <w:rPr>
          <w:b/>
          <w:i/>
        </w:rPr>
        <w:t>Устойчивость пены:</w:t>
      </w:r>
      <w:r w:rsidRPr="007C6507">
        <w:t xml:space="preserve"> время, по </w:t>
      </w:r>
      <w:proofErr w:type="gramStart"/>
      <w:r w:rsidRPr="007C6507">
        <w:t>истечении</w:t>
      </w:r>
      <w:proofErr w:type="gramEnd"/>
      <w:r w:rsidRPr="007C6507">
        <w:t xml:space="preserve"> которого из пены выделяется 50% раствора пенообразователя или разрушается 50% объема пены.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3.6. </w:t>
      </w:r>
      <w:r w:rsidRPr="007C6507">
        <w:rPr>
          <w:b/>
          <w:i/>
        </w:rPr>
        <w:t>Рабочий раствор пенообразователя:</w:t>
      </w:r>
      <w:r w:rsidRPr="007C6507">
        <w:t xml:space="preserve"> водный раствор пенного концентрата с определенной заданной объемной концентрацией.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3.7. </w:t>
      </w:r>
      <w:r w:rsidRPr="007C6507">
        <w:rPr>
          <w:b/>
          <w:i/>
        </w:rPr>
        <w:t>Концентрация рабочего раствора пенообразователя:</w:t>
      </w:r>
      <w:r w:rsidRPr="007C6507">
        <w:t xml:space="preserve"> содержание пенообразователя в водном растворе для получения пены, выраженное в процентах.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3.8. </w:t>
      </w:r>
      <w:r w:rsidRPr="007C6507">
        <w:rPr>
          <w:b/>
          <w:i/>
        </w:rPr>
        <w:t xml:space="preserve">Интенсивность подачи рабочего раствора: </w:t>
      </w:r>
      <w:r w:rsidRPr="007C6507">
        <w:t>объем рабочего раствора пенообразователя, подаваемого в единицу времени на единицу площади горючего.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3.9. </w:t>
      </w:r>
      <w:r w:rsidRPr="007C6507">
        <w:rPr>
          <w:b/>
          <w:i/>
        </w:rPr>
        <w:t>Зажигание:</w:t>
      </w:r>
      <w:r w:rsidRPr="007C6507">
        <w:t xml:space="preserve"> инициирование процесса горения.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3.10. </w:t>
      </w:r>
      <w:r w:rsidRPr="007C6507">
        <w:rPr>
          <w:b/>
          <w:i/>
        </w:rPr>
        <w:t>Воспламенение:</w:t>
      </w:r>
      <w:r w:rsidRPr="007C6507">
        <w:t xml:space="preserve"> начало пламенного горения под воздействием источника зажигания.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3.11. </w:t>
      </w:r>
      <w:r w:rsidRPr="007C6507">
        <w:rPr>
          <w:b/>
          <w:i/>
        </w:rPr>
        <w:t>Горение:</w:t>
      </w:r>
      <w:r w:rsidRPr="007C6507">
        <w:t xml:space="preserve"> экзотермическая реакция окисления вещества, сопровождающаяся по крайней мере одним из трех факторов: пламенем, свечением, выделением дыма.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3.12. </w:t>
      </w:r>
      <w:r w:rsidRPr="007C6507">
        <w:rPr>
          <w:b/>
          <w:i/>
        </w:rPr>
        <w:t>Время свободного горения:</w:t>
      </w:r>
      <w:r w:rsidRPr="007C6507">
        <w:t xml:space="preserve"> время с момента воспламенения горючей жидкости до момента начала подачи пены.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3.13. </w:t>
      </w:r>
      <w:r w:rsidRPr="007C6507">
        <w:rPr>
          <w:b/>
          <w:i/>
        </w:rPr>
        <w:t xml:space="preserve">Время тушения: </w:t>
      </w:r>
      <w:r w:rsidRPr="007C6507">
        <w:t>время с момента начала подачи пены до момента прекращения горения горючей жидкости.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3.14. </w:t>
      </w:r>
      <w:r w:rsidRPr="007C6507">
        <w:rPr>
          <w:b/>
          <w:i/>
        </w:rPr>
        <w:t>Время повторного воспламенения:</w:t>
      </w:r>
      <w:r w:rsidRPr="007C6507">
        <w:t xml:space="preserve"> время воспламенения 100%-ной поверхности горючей жидкости в модельном очаге от внесенного горящего тигля.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3.15. </w:t>
      </w:r>
      <w:r w:rsidRPr="007C6507">
        <w:rPr>
          <w:b/>
          <w:i/>
        </w:rPr>
        <w:t>Пенообразователь (пенный концентрат) для тушения пожаров:</w:t>
      </w:r>
      <w:r w:rsidRPr="007C6507">
        <w:t xml:space="preserve"> концентрированный водный раствор стабилизатора пены (поверхностно-активного вещества), образующий при смешении с водой рабочий раствор пенообразователя.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3.16. </w:t>
      </w:r>
      <w:r w:rsidRPr="007C6507">
        <w:rPr>
          <w:b/>
          <w:i/>
        </w:rPr>
        <w:t xml:space="preserve">Пенообразователи типа AFFF/AR: </w:t>
      </w:r>
      <w:r w:rsidRPr="007C6507">
        <w:t>синтетические фторсодержащие пленкообразующие пенообразователи целевого назначения для тушения водорастворимых горючих жидкостей.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3.17. </w:t>
      </w:r>
      <w:r w:rsidRPr="007C6507">
        <w:rPr>
          <w:b/>
          <w:i/>
        </w:rPr>
        <w:t xml:space="preserve">Пенообразователи типа FFFP/AR: </w:t>
      </w:r>
      <w:r w:rsidRPr="007C6507">
        <w:t>протеиновые фторсодержащие пленкообразующие пенообразователи целевого назначения для тушения водорастворимых горючих жидкостей.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3.18. </w:t>
      </w:r>
      <w:r w:rsidRPr="007C6507">
        <w:rPr>
          <w:b/>
          <w:i/>
        </w:rPr>
        <w:t>Пенообразователи типа S/AR:</w:t>
      </w:r>
      <w:r w:rsidRPr="007C6507">
        <w:t xml:space="preserve"> синтетические пенообразователи целевого назначения для тушения водорастворимых горючих жидкостей.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jc w:val="center"/>
        <w:outlineLvl w:val="1"/>
        <w:rPr>
          <w:b/>
        </w:rPr>
      </w:pPr>
      <w:r w:rsidRPr="007C6507">
        <w:rPr>
          <w:b/>
        </w:rPr>
        <w:t>4. Технические требования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ind w:firstLine="540"/>
        <w:jc w:val="both"/>
      </w:pPr>
      <w:r w:rsidRPr="007C6507">
        <w:t>4.1. Характеристики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Показатели качества пенообразователей для тушения пожаров водорастворимых горючих жидкостей подачей сверху типа AFFF/AR, FFFP/AR, S/AR должны соответствовать ГОСТ </w:t>
      </w:r>
      <w:proofErr w:type="gramStart"/>
      <w:r w:rsidRPr="007C6507">
        <w:t>Р</w:t>
      </w:r>
      <w:proofErr w:type="gramEnd"/>
      <w:r w:rsidRPr="007C6507">
        <w:t xml:space="preserve"> 50588 и требованиям, указанным в таблице 1.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jc w:val="right"/>
      </w:pPr>
      <w:r w:rsidRPr="007C6507">
        <w:t>Таблица 1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jc w:val="center"/>
      </w:pPr>
      <w:bookmarkStart w:id="1" w:name="P91"/>
      <w:bookmarkEnd w:id="1"/>
      <w:r w:rsidRPr="007C6507">
        <w:t>Показатели качества пенообразователей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1843"/>
        <w:gridCol w:w="1843"/>
        <w:gridCol w:w="1276"/>
      </w:tblGrid>
      <w:tr w:rsidR="007C6507" w:rsidRPr="007C6507" w:rsidTr="009D7E3B">
        <w:tc>
          <w:tcPr>
            <w:tcW w:w="2802" w:type="dxa"/>
            <w:vMerge w:val="restart"/>
            <w:vAlign w:val="center"/>
          </w:tcPr>
          <w:p w:rsidR="007C6507" w:rsidRPr="007C6507" w:rsidRDefault="007C6507" w:rsidP="007C6507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  <w:r w:rsidRPr="007C6507">
              <w:rPr>
                <w:rFonts w:asciiTheme="minorHAnsi" w:hAnsiTheme="minorHAnsi" w:cstheme="minorHAnsi"/>
                <w:sz w:val="20"/>
              </w:rPr>
              <w:lastRenderedPageBreak/>
              <w:t>Наименование показателя</w:t>
            </w:r>
          </w:p>
        </w:tc>
        <w:tc>
          <w:tcPr>
            <w:tcW w:w="5528" w:type="dxa"/>
            <w:gridSpan w:val="3"/>
            <w:vAlign w:val="center"/>
          </w:tcPr>
          <w:p w:rsidR="007C6507" w:rsidRPr="007C6507" w:rsidRDefault="007C6507" w:rsidP="007C6507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  <w:r w:rsidRPr="007C6507">
              <w:rPr>
                <w:rFonts w:asciiTheme="minorHAnsi" w:hAnsiTheme="minorHAnsi" w:cstheme="minorHAnsi"/>
                <w:sz w:val="20"/>
              </w:rPr>
              <w:t>Значение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7C6507" w:rsidRPr="007C6507" w:rsidRDefault="007C6507" w:rsidP="007C6507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  <w:r w:rsidRPr="007C6507">
              <w:rPr>
                <w:rFonts w:asciiTheme="minorHAnsi" w:hAnsiTheme="minorHAnsi" w:cstheme="minorHAnsi"/>
                <w:sz w:val="20"/>
              </w:rPr>
              <w:t>Метод испытаний</w:t>
            </w:r>
          </w:p>
        </w:tc>
      </w:tr>
      <w:tr w:rsidR="007C6507" w:rsidRPr="007C6507" w:rsidTr="009D7E3B">
        <w:tc>
          <w:tcPr>
            <w:tcW w:w="2802" w:type="dxa"/>
            <w:vMerge/>
            <w:vAlign w:val="center"/>
          </w:tcPr>
          <w:p w:rsidR="007C6507" w:rsidRPr="007C6507" w:rsidRDefault="007C6507" w:rsidP="007C6507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7C6507" w:rsidRPr="007C6507" w:rsidRDefault="007C6507" w:rsidP="007C6507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7C6507">
              <w:rPr>
                <w:rFonts w:asciiTheme="minorHAnsi" w:hAnsiTheme="minorHAnsi" w:cstheme="minorHAnsi"/>
                <w:sz w:val="20"/>
              </w:rPr>
              <w:t>Углеводородные синтетические для тушения водорастворимых (полярных) горючих жидкостей (тип S/AR)</w:t>
            </w:r>
            <w:proofErr w:type="gramEnd"/>
          </w:p>
        </w:tc>
        <w:tc>
          <w:tcPr>
            <w:tcW w:w="3686" w:type="dxa"/>
            <w:gridSpan w:val="2"/>
            <w:vAlign w:val="center"/>
          </w:tcPr>
          <w:p w:rsidR="007C6507" w:rsidRPr="007C6507" w:rsidRDefault="007C6507" w:rsidP="007C6507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7C6507">
              <w:rPr>
                <w:sz w:val="20"/>
              </w:rPr>
              <w:t>Фторсодержащие</w:t>
            </w:r>
            <w:proofErr w:type="gramEnd"/>
          </w:p>
        </w:tc>
        <w:tc>
          <w:tcPr>
            <w:tcW w:w="1276" w:type="dxa"/>
            <w:vMerge/>
            <w:vAlign w:val="center"/>
          </w:tcPr>
          <w:p w:rsidR="007C6507" w:rsidRPr="007C6507" w:rsidRDefault="007C6507" w:rsidP="007C6507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7C6507" w:rsidRPr="007C6507" w:rsidTr="009D7E3B">
        <w:tc>
          <w:tcPr>
            <w:tcW w:w="2802" w:type="dxa"/>
            <w:vMerge/>
            <w:tcBorders>
              <w:bottom w:val="single" w:sz="4" w:space="0" w:color="auto"/>
            </w:tcBorders>
            <w:vAlign w:val="center"/>
          </w:tcPr>
          <w:p w:rsidR="007C6507" w:rsidRPr="007C6507" w:rsidRDefault="007C6507" w:rsidP="007C6507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:rsidR="007C6507" w:rsidRPr="007C6507" w:rsidRDefault="007C6507" w:rsidP="007C6507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C6507" w:rsidRPr="007C6507" w:rsidRDefault="007C6507" w:rsidP="007C6507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  <w:r w:rsidRPr="007C6507">
              <w:rPr>
                <w:rFonts w:asciiTheme="minorHAnsi" w:hAnsiTheme="minorHAnsi" w:cstheme="minorHAnsi"/>
                <w:sz w:val="20"/>
              </w:rPr>
              <w:t>для тушения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водорастворимых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(полярных)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горючих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жидкостей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(тип AFFF/AR)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C6507" w:rsidRPr="007C6507" w:rsidRDefault="007C6507" w:rsidP="007C6507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  <w:r w:rsidRPr="007C6507">
              <w:rPr>
                <w:rFonts w:asciiTheme="minorHAnsi" w:hAnsiTheme="minorHAnsi" w:cstheme="minorHAnsi"/>
                <w:sz w:val="20"/>
              </w:rPr>
              <w:t>для тушения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водорастворимых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(полярных)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горючих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жидкостей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(тип FFFP/AR)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7C6507" w:rsidRPr="007C6507" w:rsidRDefault="007C6507" w:rsidP="007C6507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7C6507" w:rsidRPr="007C6507" w:rsidTr="009D7E3B">
        <w:trPr>
          <w:trHeight w:val="475"/>
        </w:trPr>
        <w:tc>
          <w:tcPr>
            <w:tcW w:w="2802" w:type="dxa"/>
            <w:tcBorders>
              <w:bottom w:val="nil"/>
            </w:tcBorders>
            <w:vAlign w:val="center"/>
          </w:tcPr>
          <w:p w:rsidR="007C6507" w:rsidRPr="007C6507" w:rsidRDefault="007C6507" w:rsidP="007C6507">
            <w:pPr>
              <w:pStyle w:val="ConsPlusNormal"/>
              <w:jc w:val="both"/>
              <w:rPr>
                <w:rFonts w:asciiTheme="minorHAnsi" w:hAnsiTheme="minorHAnsi" w:cstheme="minorHAnsi"/>
                <w:sz w:val="20"/>
              </w:rPr>
            </w:pPr>
            <w:r w:rsidRPr="007C6507">
              <w:rPr>
                <w:rFonts w:asciiTheme="minorHAnsi" w:hAnsiTheme="minorHAnsi" w:cstheme="minorHAnsi"/>
                <w:sz w:val="20"/>
              </w:rPr>
              <w:t>Время тушения ацетона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(</w:t>
            </w:r>
            <w:proofErr w:type="spellStart"/>
            <w:r w:rsidRPr="007C6507">
              <w:rPr>
                <w:rFonts w:asciiTheme="minorHAnsi" w:hAnsiTheme="minorHAnsi" w:cstheme="minorHAnsi"/>
                <w:sz w:val="20"/>
              </w:rPr>
              <w:t>изопропанола</w:t>
            </w:r>
            <w:proofErr w:type="spellEnd"/>
            <w:r w:rsidRPr="007C6507">
              <w:rPr>
                <w:rFonts w:asciiTheme="minorHAnsi" w:hAnsiTheme="minorHAnsi" w:cstheme="minorHAnsi"/>
                <w:sz w:val="20"/>
              </w:rPr>
              <w:t xml:space="preserve">), </w:t>
            </w:r>
            <w:proofErr w:type="gramStart"/>
            <w:r w:rsidRPr="007C6507">
              <w:rPr>
                <w:rFonts w:asciiTheme="minorHAnsi" w:hAnsiTheme="minorHAnsi" w:cstheme="minorHAnsi"/>
                <w:sz w:val="20"/>
              </w:rPr>
              <w:t>с</w:t>
            </w:r>
            <w:proofErr w:type="gramEnd"/>
            <w:r w:rsidRPr="007C6507">
              <w:rPr>
                <w:rFonts w:asciiTheme="minorHAnsi" w:hAnsiTheme="minorHAnsi" w:cstheme="minorHAnsi"/>
                <w:sz w:val="20"/>
              </w:rPr>
              <w:t>, не более:</w:t>
            </w:r>
          </w:p>
        </w:tc>
        <w:tc>
          <w:tcPr>
            <w:tcW w:w="1842" w:type="dxa"/>
            <w:tcBorders>
              <w:bottom w:val="nil"/>
            </w:tcBorders>
          </w:tcPr>
          <w:p w:rsidR="009D7E3B" w:rsidRPr="007C6507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C6507" w:rsidRPr="007C6507" w:rsidRDefault="007C6507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C6507" w:rsidRPr="007C6507" w:rsidRDefault="007C6507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7C6507" w:rsidRPr="007C6507" w:rsidRDefault="007C6507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D7E3B" w:rsidRPr="007C6507" w:rsidTr="009D7E3B">
        <w:trPr>
          <w:trHeight w:val="776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:rsidR="009D7E3B" w:rsidRPr="007C6507" w:rsidRDefault="009D7E3B" w:rsidP="007C6507">
            <w:pPr>
              <w:pStyle w:val="ConsPlusNormal"/>
              <w:jc w:val="both"/>
              <w:rPr>
                <w:rFonts w:asciiTheme="minorHAnsi" w:hAnsiTheme="minorHAnsi" w:cstheme="minorHAnsi"/>
                <w:sz w:val="20"/>
              </w:rPr>
            </w:pPr>
            <w:r w:rsidRPr="007C6507">
              <w:rPr>
                <w:rFonts w:asciiTheme="minorHAnsi" w:hAnsiTheme="minorHAnsi" w:cstheme="minorHAnsi"/>
                <w:sz w:val="20"/>
              </w:rPr>
              <w:t>- пеной низкой кратности при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интенсивности подачи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(0,110 ± 0,002) дм</w:t>
            </w:r>
            <w:r w:rsidRPr="009D7E3B">
              <w:rPr>
                <w:rFonts w:asciiTheme="minorHAnsi" w:hAnsiTheme="minorHAnsi" w:cstheme="minorHAnsi"/>
                <w:sz w:val="20"/>
                <w:vertAlign w:val="superscript"/>
              </w:rPr>
              <w:t>3</w:t>
            </w:r>
            <w:r w:rsidRPr="007C6507">
              <w:rPr>
                <w:rFonts w:asciiTheme="minorHAnsi" w:hAnsiTheme="minorHAnsi" w:cstheme="minorHAnsi"/>
                <w:sz w:val="20"/>
              </w:rPr>
              <w:t>/(м</w:t>
            </w:r>
            <w:proofErr w:type="gramStart"/>
            <w:r w:rsidRPr="007C6507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proofErr w:type="gramEnd"/>
            <w:r w:rsidRPr="007C6507">
              <w:rPr>
                <w:rFonts w:asciiTheme="minorHAnsi" w:hAnsiTheme="minorHAnsi" w:cstheme="minorHAnsi"/>
                <w:sz w:val="20"/>
              </w:rPr>
              <w:t xml:space="preserve"> x с)</w:t>
            </w:r>
            <w:r>
              <w:rPr>
                <w:rFonts w:asciiTheme="minorHAnsi" w:hAnsiTheme="minorHAnsi" w:cstheme="minorHAnsi"/>
                <w:sz w:val="20"/>
              </w:rPr>
              <w:t>;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Pr="007C6507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300</w:t>
            </w:r>
          </w:p>
        </w:tc>
        <w:tc>
          <w:tcPr>
            <w:tcW w:w="3686" w:type="dxa"/>
            <w:gridSpan w:val="2"/>
            <w:tcBorders>
              <w:top w:val="nil"/>
              <w:bottom w:val="nil"/>
            </w:tcBorders>
          </w:tcPr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Pr="007C6507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180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Pr="007C6507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п. 5.1.1</w:t>
            </w:r>
          </w:p>
        </w:tc>
      </w:tr>
      <w:tr w:rsidR="009D7E3B" w:rsidRPr="007C6507" w:rsidTr="009D7E3B">
        <w:trPr>
          <w:trHeight w:val="714"/>
        </w:trPr>
        <w:tc>
          <w:tcPr>
            <w:tcW w:w="2802" w:type="dxa"/>
            <w:tcBorders>
              <w:top w:val="nil"/>
            </w:tcBorders>
            <w:vAlign w:val="center"/>
          </w:tcPr>
          <w:p w:rsidR="009D7E3B" w:rsidRPr="007C6507" w:rsidRDefault="009D7E3B" w:rsidP="007C6507">
            <w:pPr>
              <w:pStyle w:val="ConsPlusNormal"/>
              <w:jc w:val="both"/>
              <w:rPr>
                <w:rFonts w:asciiTheme="minorHAnsi" w:hAnsiTheme="minorHAnsi" w:cstheme="minorHAnsi"/>
                <w:sz w:val="20"/>
              </w:rPr>
            </w:pPr>
            <w:r w:rsidRPr="007C6507">
              <w:rPr>
                <w:rFonts w:asciiTheme="minorHAnsi" w:hAnsiTheme="minorHAnsi" w:cstheme="minorHAnsi"/>
                <w:sz w:val="20"/>
              </w:rPr>
              <w:t>- пеной средней кратности при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интенсивности подачи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(0,080 ± 0,002) дм</w:t>
            </w:r>
            <w:r w:rsidRPr="007C6507">
              <w:rPr>
                <w:rFonts w:asciiTheme="minorHAnsi" w:hAnsiTheme="minorHAnsi" w:cstheme="minorHAnsi"/>
                <w:sz w:val="20"/>
                <w:vertAlign w:val="superscript"/>
              </w:rPr>
              <w:t>3</w:t>
            </w:r>
            <w:r w:rsidRPr="007C6507">
              <w:rPr>
                <w:rFonts w:asciiTheme="minorHAnsi" w:hAnsiTheme="minorHAnsi" w:cstheme="minorHAnsi"/>
                <w:sz w:val="20"/>
              </w:rPr>
              <w:t>/(м</w:t>
            </w:r>
            <w:proofErr w:type="gramStart"/>
            <w:r w:rsidRPr="007C6507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proofErr w:type="gramEnd"/>
            <w:r w:rsidRPr="007C6507">
              <w:rPr>
                <w:rFonts w:asciiTheme="minorHAnsi" w:hAnsiTheme="minorHAnsi" w:cstheme="minorHAnsi"/>
                <w:sz w:val="20"/>
              </w:rPr>
              <w:t xml:space="preserve"> x с)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5528" w:type="dxa"/>
            <w:gridSpan w:val="3"/>
            <w:tcBorders>
              <w:top w:val="nil"/>
            </w:tcBorders>
          </w:tcPr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Pr="007C6507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120</w:t>
            </w:r>
          </w:p>
        </w:tc>
        <w:tc>
          <w:tcPr>
            <w:tcW w:w="1276" w:type="dxa"/>
            <w:tcBorders>
              <w:top w:val="nil"/>
            </w:tcBorders>
          </w:tcPr>
          <w:p w:rsidR="009D7E3B" w:rsidRDefault="009D7E3B" w:rsidP="006B0CC9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6B0CC9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Pr="007C6507" w:rsidRDefault="009D7E3B" w:rsidP="006B0CC9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п. 5.1.2</w:t>
            </w:r>
          </w:p>
        </w:tc>
      </w:tr>
      <w:tr w:rsidR="009D7E3B" w:rsidRPr="007C6507" w:rsidTr="009D7E3B">
        <w:trPr>
          <w:trHeight w:val="1678"/>
        </w:trPr>
        <w:tc>
          <w:tcPr>
            <w:tcW w:w="2802" w:type="dxa"/>
            <w:vAlign w:val="center"/>
          </w:tcPr>
          <w:p w:rsidR="009D7E3B" w:rsidRPr="007C6507" w:rsidRDefault="009D7E3B" w:rsidP="007C6507">
            <w:pPr>
              <w:pStyle w:val="ConsPlusNormal"/>
              <w:jc w:val="both"/>
              <w:rPr>
                <w:rFonts w:asciiTheme="minorHAnsi" w:hAnsiTheme="minorHAnsi" w:cstheme="minorHAnsi"/>
                <w:sz w:val="20"/>
              </w:rPr>
            </w:pPr>
            <w:r w:rsidRPr="007C6507">
              <w:rPr>
                <w:rFonts w:asciiTheme="minorHAnsi" w:hAnsiTheme="minorHAnsi" w:cstheme="minorHAnsi"/>
                <w:sz w:val="20"/>
              </w:rPr>
              <w:t>Время повторного воспламенения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ацетона в модельном очаге при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тушении пеной низкой кратности при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интенсивности подачи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(0,110 ± 0,002) дм</w:t>
            </w:r>
            <w:r w:rsidRPr="007C6507">
              <w:rPr>
                <w:rFonts w:asciiTheme="minorHAnsi" w:hAnsiTheme="minorHAnsi" w:cstheme="minorHAnsi"/>
                <w:sz w:val="20"/>
                <w:vertAlign w:val="superscript"/>
              </w:rPr>
              <w:t>3</w:t>
            </w:r>
            <w:r w:rsidRPr="007C6507">
              <w:rPr>
                <w:rFonts w:asciiTheme="minorHAnsi" w:hAnsiTheme="minorHAnsi" w:cstheme="minorHAnsi"/>
                <w:sz w:val="20"/>
              </w:rPr>
              <w:t>/(м</w:t>
            </w:r>
            <w:proofErr w:type="gramStart"/>
            <w:r w:rsidRPr="007C6507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proofErr w:type="gramEnd"/>
            <w:r w:rsidRPr="007C6507">
              <w:rPr>
                <w:rFonts w:asciiTheme="minorHAnsi" w:hAnsiTheme="minorHAnsi" w:cstheme="minorHAnsi"/>
                <w:sz w:val="20"/>
              </w:rPr>
              <w:t xml:space="preserve"> x с), с,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7C6507">
              <w:rPr>
                <w:rFonts w:asciiTheme="minorHAnsi" w:hAnsiTheme="minorHAnsi" w:cstheme="minorHAnsi"/>
                <w:sz w:val="20"/>
              </w:rPr>
              <w:t>не менее</w:t>
            </w:r>
          </w:p>
        </w:tc>
        <w:tc>
          <w:tcPr>
            <w:tcW w:w="1842" w:type="dxa"/>
          </w:tcPr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Pr="007C6507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300</w:t>
            </w:r>
          </w:p>
        </w:tc>
        <w:tc>
          <w:tcPr>
            <w:tcW w:w="3686" w:type="dxa"/>
            <w:gridSpan w:val="2"/>
          </w:tcPr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Pr="007C6507" w:rsidRDefault="009D7E3B" w:rsidP="009D7E3B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600</w:t>
            </w:r>
          </w:p>
        </w:tc>
        <w:tc>
          <w:tcPr>
            <w:tcW w:w="1276" w:type="dxa"/>
          </w:tcPr>
          <w:p w:rsidR="009D7E3B" w:rsidRDefault="009D7E3B" w:rsidP="006B0CC9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6B0CC9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6B0CC9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6B0CC9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6B0CC9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6B0CC9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Default="009D7E3B" w:rsidP="006B0CC9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9D7E3B" w:rsidRPr="007C6507" w:rsidRDefault="009D7E3B" w:rsidP="006B0CC9">
            <w:pPr>
              <w:pStyle w:val="ConsPlusNormal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п. 5.1.1</w:t>
            </w:r>
          </w:p>
        </w:tc>
      </w:tr>
    </w:tbl>
    <w:p w:rsidR="009F0B69" w:rsidRPr="007C6507" w:rsidRDefault="009F0B69" w:rsidP="00802909">
      <w:pPr>
        <w:pStyle w:val="ConsPlusNormal"/>
        <w:jc w:val="both"/>
      </w:pPr>
    </w:p>
    <w:p w:rsidR="009F0B69" w:rsidRPr="007C6507" w:rsidRDefault="009F0B69">
      <w:pPr>
        <w:pStyle w:val="ConsPlusNormal"/>
        <w:ind w:firstLine="540"/>
        <w:jc w:val="both"/>
      </w:pPr>
      <w:r w:rsidRPr="007C6507">
        <w:t>4.2. Требования к вспомогательным растворам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proofErr w:type="gramStart"/>
      <w:r w:rsidRPr="007C6507">
        <w:t>В зависимости от рекомендаций производителя при проведении испытаний для приготовления</w:t>
      </w:r>
      <w:proofErr w:type="gramEnd"/>
      <w:r w:rsidRPr="007C6507">
        <w:t xml:space="preserve"> рабочих растворов применяют питьевую, жесткую или морскую воду.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jc w:val="center"/>
        <w:outlineLvl w:val="1"/>
        <w:rPr>
          <w:b/>
        </w:rPr>
      </w:pPr>
      <w:r w:rsidRPr="007C6507">
        <w:rPr>
          <w:b/>
        </w:rPr>
        <w:t>5. Методы испытаний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ind w:firstLine="540"/>
        <w:jc w:val="both"/>
      </w:pPr>
      <w:r w:rsidRPr="007C6507">
        <w:t>5.1. Определение времени тушения пеной низкой и средней кратности водорастворимых горючих жидкостей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bookmarkStart w:id="2" w:name="P132"/>
      <w:bookmarkEnd w:id="2"/>
      <w:r w:rsidRPr="007C6507">
        <w:t>5.1.1. Определение времени тушения пеной низкой кратности водорастворимых горючих жидкостей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5.1.1.1. Сущность метода заключается в определении времени тушения водорастворимой горючей жидкости в модельном очаге площадью 1,73 м</w:t>
      </w:r>
      <w:proofErr w:type="gramStart"/>
      <w:r w:rsidRPr="009D7E3B">
        <w:rPr>
          <w:vertAlign w:val="superscript"/>
        </w:rPr>
        <w:t>2</w:t>
      </w:r>
      <w:proofErr w:type="gramEnd"/>
      <w:r w:rsidRPr="007C6507">
        <w:t xml:space="preserve"> пеной низкой кратности при установленной в таблице 1 интенсивности подачи рабочего раствора пенообразователя.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5.1.1.2. Оборудование и материалы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При испытании применяют следующее оборудование и материалы: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ствол низкой кратности (ГОСТ </w:t>
      </w:r>
      <w:proofErr w:type="gramStart"/>
      <w:r w:rsidRPr="007C6507">
        <w:t>Р</w:t>
      </w:r>
      <w:proofErr w:type="gramEnd"/>
      <w:r w:rsidRPr="007C6507">
        <w:t xml:space="preserve"> 50588, пункт 5.2), обеспечивающий расход раствора пенообразователя (11,40 ± 0,05) дм</w:t>
      </w:r>
      <w:r w:rsidRPr="009D7E3B">
        <w:rPr>
          <w:vertAlign w:val="superscript"/>
        </w:rPr>
        <w:t>3</w:t>
      </w:r>
      <w:r w:rsidRPr="007C6507">
        <w:t>/мин при давлении перед стволом (0,63 ± 0,03) МПа;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насосную установку, обеспечивающую объемный расход раствора пенообразователя не менее 14,25 дм</w:t>
      </w:r>
      <w:r w:rsidRPr="009D7E3B">
        <w:rPr>
          <w:vertAlign w:val="superscript"/>
        </w:rPr>
        <w:t>3</w:t>
      </w:r>
      <w:r w:rsidRPr="007C6507">
        <w:t>/мин при давлении (0,79 ± 0,03) МПа;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proofErr w:type="gramStart"/>
      <w:r w:rsidRPr="007C6507">
        <w:t>круглый противень, изготовленный из стали низкой прочности, с внутренним диаметром (1480 ± 15) мм, высотой (150 ± 10) мм, с толщиной стенок (2,5 ± 0,5) мм, имеющий экран для сбора пены, изготовленный из стали марки низкой прочности, высотой (1000 ± 50) мм, длиной (1000 ± 50) мм, толщиной (2,5 ± 0,5) мм;</w:t>
      </w:r>
      <w:proofErr w:type="gramEnd"/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lastRenderedPageBreak/>
        <w:t>тигель для повторного воспламенения с ручкой, изготовленный из стали низкой прочности, с внутренним диаметром (300 ± 5) мм, высотой (250 ± 5) мм, с толщиной стенок (2,5 ± 0,5) мм;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горючая жидкость - ацетон по ГОСТ 2603 (</w:t>
      </w:r>
      <w:proofErr w:type="spellStart"/>
      <w:r w:rsidRPr="007C6507">
        <w:t>изопропанол</w:t>
      </w:r>
      <w:proofErr w:type="spellEnd"/>
      <w:r w:rsidRPr="007C6507">
        <w:t xml:space="preserve"> по ГОСТ 9805).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5.1.1.3. Проведение испытания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Готовят рабочий раствор пенообразователя. Устанавливают модельный очаг на ровной поверхности земли. В противень заливают (125 ± 5) дм</w:t>
      </w:r>
      <w:r w:rsidRPr="009D7E3B">
        <w:rPr>
          <w:vertAlign w:val="superscript"/>
        </w:rPr>
        <w:t>3</w:t>
      </w:r>
      <w:r w:rsidRPr="007C6507">
        <w:t xml:space="preserve"> горючего. </w:t>
      </w:r>
      <w:proofErr w:type="gramStart"/>
      <w:r w:rsidRPr="007C6507">
        <w:t>Располагают ствол горизонтально на высоте (1,0 ± 0,1) м от поверхности горючего на таком расстоянии от противня, чтобы пена из ствола, направленная вдоль диаметра противня, ударялась об экран для сбора пены на высоте (0,5 ± 0,1) м от поверхности горючего.</w:t>
      </w:r>
      <w:proofErr w:type="gramEnd"/>
      <w:r w:rsidRPr="007C6507">
        <w:t xml:space="preserve"> Горючее в противне зажигают. Время свободного горения (120 ± 5) с. Подачу пены осуществляют в течение (180 ± 2) </w:t>
      </w:r>
      <w:proofErr w:type="gramStart"/>
      <w:r w:rsidRPr="007C6507">
        <w:t>с</w:t>
      </w:r>
      <w:proofErr w:type="gramEnd"/>
      <w:r w:rsidRPr="007C6507">
        <w:t xml:space="preserve"> или (300 ± 2) </w:t>
      </w:r>
      <w:proofErr w:type="gramStart"/>
      <w:r w:rsidRPr="007C6507">
        <w:t>с</w:t>
      </w:r>
      <w:proofErr w:type="gramEnd"/>
      <w:r w:rsidRPr="007C6507">
        <w:t>. Фиксируют время тушения. Для определения времени повторного воспламенения через (300 ± 2) с после прекращения подачи пены тигель с (2 ± 0,1) дм</w:t>
      </w:r>
      <w:r w:rsidRPr="009D7E3B">
        <w:rPr>
          <w:vertAlign w:val="superscript"/>
        </w:rPr>
        <w:t>3</w:t>
      </w:r>
      <w:r w:rsidRPr="007C6507">
        <w:t xml:space="preserve"> горючего устанавливают в центр противня. Горючее в тигле зажигают и фиксируют время повторного воспламенения. Следует провести три испытания, но при успешном тушении в двух первых испытаниях, третье - не проводят. За результат испытаний принимают среднеарифметическое значение показателей, полученных в двух/трех испытаниях.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EB0205">
      <w:pPr>
        <w:pStyle w:val="ConsPlusNormal"/>
        <w:jc w:val="center"/>
      </w:pPr>
      <w:r>
        <w:rPr>
          <w:position w:val="-88"/>
        </w:rPr>
        <w:pict>
          <v:shape id="_x0000_i1025" style="width:375.05pt;height:98.9pt" coordsize="" o:spt="100" adj="0,,0" path="" filled="f" stroked="f">
            <v:stroke joinstyle="miter"/>
            <v:imagedata r:id="rId6" o:title="base_44_16916_32768"/>
            <v:formulas/>
            <v:path o:connecttype="segments"/>
          </v:shape>
        </w:pic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jc w:val="center"/>
      </w:pPr>
      <w:r w:rsidRPr="007C6507">
        <w:t xml:space="preserve">1 </w:t>
      </w:r>
      <w:r w:rsidR="009D7E3B">
        <w:t>–</w:t>
      </w:r>
      <w:r w:rsidRPr="007C6507">
        <w:t xml:space="preserve"> емкость с пенообразователем; 2 </w:t>
      </w:r>
      <w:r w:rsidR="009D7E3B">
        <w:t>–</w:t>
      </w:r>
      <w:r w:rsidRPr="007C6507">
        <w:t xml:space="preserve"> насосная установка;</w:t>
      </w:r>
      <w:r w:rsidR="009D7E3B">
        <w:t xml:space="preserve"> </w:t>
      </w:r>
      <w:r w:rsidRPr="007C6507">
        <w:t xml:space="preserve">3 </w:t>
      </w:r>
      <w:r w:rsidR="009D7E3B">
        <w:t>–</w:t>
      </w:r>
      <w:r w:rsidRPr="007C6507">
        <w:t xml:space="preserve"> пенный ствол: 4 </w:t>
      </w:r>
      <w:r w:rsidR="009D7E3B">
        <w:t>–</w:t>
      </w:r>
      <w:r w:rsidRPr="007C6507">
        <w:t xml:space="preserve"> противень с горючей жидкостью;</w:t>
      </w:r>
      <w:r w:rsidR="009D7E3B">
        <w:t xml:space="preserve"> </w:t>
      </w:r>
      <w:r w:rsidRPr="007C6507">
        <w:t xml:space="preserve">5 </w:t>
      </w:r>
      <w:r w:rsidR="009D7E3B">
        <w:t>–</w:t>
      </w:r>
      <w:r w:rsidRPr="007C6507">
        <w:t xml:space="preserve"> экран для сбора пены</w:t>
      </w:r>
    </w:p>
    <w:p w:rsidR="009F0B69" w:rsidRPr="007C6507" w:rsidRDefault="009F0B69">
      <w:pPr>
        <w:pStyle w:val="ConsPlusNormal"/>
        <w:jc w:val="center"/>
      </w:pPr>
    </w:p>
    <w:p w:rsidR="009F0B69" w:rsidRPr="007C6507" w:rsidRDefault="009F0B69">
      <w:pPr>
        <w:pStyle w:val="ConsPlusNormal"/>
        <w:jc w:val="center"/>
      </w:pPr>
      <w:r w:rsidRPr="007C6507">
        <w:t>Рисунок 1. Схема установки для определения времени тушения</w:t>
      </w:r>
      <w:r w:rsidR="009D7E3B">
        <w:t xml:space="preserve"> </w:t>
      </w:r>
      <w:r w:rsidRPr="007C6507">
        <w:t>горючей жидкости при подаче пены низкой кратности</w:t>
      </w:r>
      <w:r w:rsidR="009D7E3B">
        <w:t xml:space="preserve"> </w:t>
      </w:r>
      <w:r w:rsidRPr="007C6507">
        <w:t>в борт противня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ind w:firstLine="540"/>
        <w:jc w:val="both"/>
      </w:pPr>
      <w:bookmarkStart w:id="3" w:name="P154"/>
      <w:bookmarkEnd w:id="3"/>
      <w:r w:rsidRPr="007C6507">
        <w:t>5.1.2. Определение времени тушения пеной средней кратности водорастворимых горючих жидкостей (стендовый метод)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5.1.2.1. Сущность метода заключается в определении времени тушения водорастворимой горючей жидкости пеной средней кратности.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5.1.2.2. Оборудование и материалы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При испытании применяют следующее оборудование и материалы: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генератор пены средней кратности по стендовой методике по ГОСТ </w:t>
      </w:r>
      <w:proofErr w:type="gramStart"/>
      <w:r w:rsidRPr="007C6507">
        <w:t>Р</w:t>
      </w:r>
      <w:proofErr w:type="gramEnd"/>
      <w:r w:rsidRPr="007C6507">
        <w:t xml:space="preserve"> 50588 (пункт 5.4), обеспечивающий получение расхода раствора пенообразователя (2 ± 0,2) г/с;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цилиндрическую горелку, изготовленную из стали низкой прочности, с внутренним диаметром (180 ± 1) мм, высотой (100 ± 2) мм, с толщиной стенок (1,0 ± 0,2) мм.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5.1.2.3. Проведение испытания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>Готовят рабочий раствор пенообразователя. Заливают в горелку (1010 ± 10) см</w:t>
      </w:r>
      <w:r w:rsidRPr="009D7E3B">
        <w:rPr>
          <w:vertAlign w:val="superscript"/>
        </w:rPr>
        <w:t>3</w:t>
      </w:r>
      <w:r w:rsidRPr="007C6507">
        <w:t xml:space="preserve"> горючего.</w:t>
      </w:r>
    </w:p>
    <w:p w:rsidR="009F0B69" w:rsidRPr="007C6507" w:rsidRDefault="009F0B69">
      <w:pPr>
        <w:pStyle w:val="ConsPlusNormal"/>
        <w:spacing w:before="220"/>
        <w:ind w:firstLine="540"/>
        <w:jc w:val="both"/>
      </w:pPr>
      <w:r w:rsidRPr="007C6507">
        <w:t xml:space="preserve">Горючее зажигают. Время свободного горения - (180 ± 5) </w:t>
      </w:r>
      <w:proofErr w:type="gramStart"/>
      <w:r w:rsidRPr="007C6507">
        <w:t>с</w:t>
      </w:r>
      <w:proofErr w:type="gramEnd"/>
      <w:r w:rsidRPr="007C6507">
        <w:t xml:space="preserve">. Вводят пеногенератор </w:t>
      </w:r>
      <w:proofErr w:type="gramStart"/>
      <w:r w:rsidRPr="007C6507">
        <w:t>в</w:t>
      </w:r>
      <w:proofErr w:type="gramEnd"/>
      <w:r w:rsidRPr="007C6507">
        <w:t xml:space="preserve"> зону </w:t>
      </w:r>
      <w:r w:rsidRPr="007C6507">
        <w:lastRenderedPageBreak/>
        <w:t>горения так, чтобы пена ложилась в центр горелки. Подачу пены осуществляют в течение (120 ± 2) с. Фиксируют время тушения. Следует провести три испытания, но при успешном тушении в двух первых испытаниях, третье - не проводят. За результат испытаний принимают среднеарифметическое значение показателей, полученных в двух/трех испытаниях.</w:t>
      </w:r>
    </w:p>
    <w:p w:rsidR="009F0B69" w:rsidRPr="007C6507" w:rsidRDefault="009F0B69">
      <w:pPr>
        <w:rPr>
          <w:rFonts w:ascii="Calibri" w:eastAsia="Times New Roman" w:hAnsi="Calibri" w:cs="Calibri"/>
          <w:szCs w:val="20"/>
          <w:lang w:eastAsia="ru-RU"/>
        </w:rPr>
      </w:pPr>
      <w:r w:rsidRPr="007C6507">
        <w:br w:type="page"/>
      </w:r>
    </w:p>
    <w:p w:rsidR="009F0B69" w:rsidRPr="007C6507" w:rsidRDefault="009F0B69" w:rsidP="009D7E3B">
      <w:pPr>
        <w:pStyle w:val="ConsPlusNormal"/>
        <w:jc w:val="right"/>
        <w:outlineLvl w:val="0"/>
      </w:pPr>
      <w:r w:rsidRPr="007C6507">
        <w:lastRenderedPageBreak/>
        <w:t>Приложение</w:t>
      </w:r>
      <w:proofErr w:type="gramStart"/>
      <w:r w:rsidRPr="007C6507">
        <w:t xml:space="preserve"> А</w:t>
      </w:r>
      <w:proofErr w:type="gramEnd"/>
      <w:r w:rsidR="009D7E3B">
        <w:rPr>
          <w:lang w:val="en-US"/>
        </w:rPr>
        <w:br/>
      </w:r>
      <w:r w:rsidRPr="007C6507">
        <w:t>(обязательное)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9D7E3B" w:rsidRDefault="009F0B69">
      <w:pPr>
        <w:pStyle w:val="ConsPlusNormal"/>
        <w:jc w:val="center"/>
        <w:rPr>
          <w:b/>
        </w:rPr>
      </w:pPr>
      <w:r w:rsidRPr="009D7E3B">
        <w:rPr>
          <w:b/>
        </w:rPr>
        <w:t>МОДЕЛЬ ЖЕСТКОЙ ВОДЫ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 w:rsidP="009D7E3B">
      <w:pPr>
        <w:pStyle w:val="ConsPlusNormal"/>
        <w:ind w:firstLine="540"/>
        <w:jc w:val="both"/>
      </w:pPr>
      <w:r w:rsidRPr="007C6507">
        <w:t>Для создания модели жесткой воды используют материалы, представленные в таблице А.1.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jc w:val="right"/>
      </w:pPr>
      <w:r w:rsidRPr="007C6507">
        <w:t>Таблица А.1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jc w:val="center"/>
      </w:pPr>
      <w:r w:rsidRPr="007C6507">
        <w:t>Модель жесткой воды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2504"/>
        <w:gridCol w:w="2033"/>
      </w:tblGrid>
      <w:tr w:rsidR="009D7E3B" w:rsidTr="009D7E3B">
        <w:tc>
          <w:tcPr>
            <w:tcW w:w="4677" w:type="dxa"/>
            <w:vAlign w:val="center"/>
          </w:tcPr>
          <w:p w:rsidR="009D7E3B" w:rsidRDefault="009D7E3B" w:rsidP="009D7E3B">
            <w:pPr>
              <w:pStyle w:val="ConsPlusNormal"/>
              <w:jc w:val="center"/>
            </w:pPr>
            <w:r w:rsidRPr="007C6507">
              <w:t>Наименование компонента</w:t>
            </w:r>
          </w:p>
        </w:tc>
        <w:tc>
          <w:tcPr>
            <w:tcW w:w="2504" w:type="dxa"/>
            <w:vAlign w:val="center"/>
          </w:tcPr>
          <w:p w:rsidR="009D7E3B" w:rsidRDefault="009D7E3B" w:rsidP="009D7E3B">
            <w:pPr>
              <w:pStyle w:val="ConsPlusNormal"/>
              <w:jc w:val="center"/>
            </w:pPr>
            <w:r w:rsidRPr="007C6507">
              <w:t>Химическая формула</w:t>
            </w:r>
            <w:r>
              <w:rPr>
                <w:lang w:val="en-US"/>
              </w:rPr>
              <w:t xml:space="preserve"> </w:t>
            </w:r>
            <w:r w:rsidRPr="007C6507">
              <w:t>компонента</w:t>
            </w:r>
          </w:p>
        </w:tc>
        <w:tc>
          <w:tcPr>
            <w:tcW w:w="2033" w:type="dxa"/>
            <w:vAlign w:val="center"/>
          </w:tcPr>
          <w:p w:rsidR="009D7E3B" w:rsidRDefault="009D7E3B" w:rsidP="009D7E3B">
            <w:pPr>
              <w:pStyle w:val="ConsPlusNormal"/>
              <w:jc w:val="center"/>
            </w:pPr>
            <w:r w:rsidRPr="007C6507">
              <w:t>Массовая доля,</w:t>
            </w:r>
            <w:r>
              <w:rPr>
                <w:lang w:val="en-US"/>
              </w:rPr>
              <w:t xml:space="preserve"> </w:t>
            </w:r>
            <w:r w:rsidRPr="007C6507">
              <w:t>%</w:t>
            </w:r>
          </w:p>
        </w:tc>
      </w:tr>
      <w:tr w:rsidR="009D7E3B" w:rsidTr="009D7E3B">
        <w:tc>
          <w:tcPr>
            <w:tcW w:w="4677" w:type="dxa"/>
          </w:tcPr>
          <w:p w:rsidR="009D7E3B" w:rsidRDefault="009D7E3B" w:rsidP="009D7E3B">
            <w:pPr>
              <w:pStyle w:val="ConsPlusNormal"/>
              <w:jc w:val="both"/>
            </w:pPr>
            <w:r w:rsidRPr="007C6507">
              <w:t>Вода дистиллированная по ГОСТ 6709</w:t>
            </w:r>
          </w:p>
        </w:tc>
        <w:tc>
          <w:tcPr>
            <w:tcW w:w="2504" w:type="dxa"/>
          </w:tcPr>
          <w:p w:rsidR="009D7E3B" w:rsidRPr="009D7E3B" w:rsidRDefault="009D7E3B" w:rsidP="009D7E3B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H2O</w:t>
            </w:r>
          </w:p>
        </w:tc>
        <w:tc>
          <w:tcPr>
            <w:tcW w:w="2033" w:type="dxa"/>
          </w:tcPr>
          <w:p w:rsidR="009D7E3B" w:rsidRDefault="009D7E3B" w:rsidP="009D7E3B">
            <w:pPr>
              <w:pStyle w:val="ConsPlusNormal"/>
              <w:jc w:val="center"/>
            </w:pPr>
            <w:r w:rsidRPr="007C6507">
              <w:t>99,8794</w:t>
            </w:r>
          </w:p>
        </w:tc>
      </w:tr>
      <w:tr w:rsidR="009D7E3B" w:rsidTr="009D7E3B">
        <w:tc>
          <w:tcPr>
            <w:tcW w:w="4677" w:type="dxa"/>
          </w:tcPr>
          <w:p w:rsidR="009D7E3B" w:rsidRDefault="009D7E3B" w:rsidP="009D7E3B">
            <w:pPr>
              <w:pStyle w:val="ConsPlusNormal"/>
              <w:jc w:val="both"/>
            </w:pPr>
            <w:r w:rsidRPr="007C6507">
              <w:t>Магний хлористый 6-водный по ГОСТ 4209</w:t>
            </w:r>
          </w:p>
        </w:tc>
        <w:tc>
          <w:tcPr>
            <w:tcW w:w="2504" w:type="dxa"/>
          </w:tcPr>
          <w:p w:rsidR="009D7E3B" w:rsidRDefault="009D7E3B" w:rsidP="009D7E3B">
            <w:pPr>
              <w:pStyle w:val="ConsPlusNormal"/>
              <w:jc w:val="center"/>
            </w:pPr>
            <w:proofErr w:type="spellStart"/>
            <w:r w:rsidRPr="007C6507">
              <w:t>MgCl</w:t>
            </w:r>
            <w:proofErr w:type="spellEnd"/>
            <w:r w:rsidRPr="009D7E3B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</w:t>
            </w:r>
            <w:r w:rsidRPr="007C6507">
              <w:t>x 6H</w:t>
            </w:r>
            <w:r w:rsidRPr="009D7E3B">
              <w:rPr>
                <w:vertAlign w:val="subscript"/>
                <w:lang w:val="en-US"/>
              </w:rPr>
              <w:t>2</w:t>
            </w:r>
            <w:r w:rsidRPr="007C6507">
              <w:t>O</w:t>
            </w:r>
          </w:p>
        </w:tc>
        <w:tc>
          <w:tcPr>
            <w:tcW w:w="2033" w:type="dxa"/>
          </w:tcPr>
          <w:p w:rsidR="009D7E3B" w:rsidRDefault="009D7E3B" w:rsidP="009D7E3B">
            <w:pPr>
              <w:pStyle w:val="ConsPlusNormal"/>
              <w:jc w:val="center"/>
            </w:pPr>
            <w:r w:rsidRPr="007C6507">
              <w:t>0,0381</w:t>
            </w:r>
          </w:p>
        </w:tc>
      </w:tr>
      <w:tr w:rsidR="009D7E3B" w:rsidTr="009D7E3B">
        <w:tc>
          <w:tcPr>
            <w:tcW w:w="4677" w:type="dxa"/>
          </w:tcPr>
          <w:p w:rsidR="009D7E3B" w:rsidRDefault="009D7E3B" w:rsidP="009D7E3B">
            <w:pPr>
              <w:pStyle w:val="ConsPlusNormal"/>
              <w:jc w:val="both"/>
            </w:pPr>
            <w:r w:rsidRPr="007C6507">
              <w:t>Кальций хлорид 2-водный по [1]</w:t>
            </w:r>
          </w:p>
        </w:tc>
        <w:tc>
          <w:tcPr>
            <w:tcW w:w="2504" w:type="dxa"/>
          </w:tcPr>
          <w:p w:rsidR="009D7E3B" w:rsidRDefault="009D7E3B" w:rsidP="009D7E3B">
            <w:pPr>
              <w:pStyle w:val="ConsPlusNormal"/>
              <w:jc w:val="center"/>
            </w:pPr>
            <w:proofErr w:type="spellStart"/>
            <w:r w:rsidRPr="007C6507">
              <w:t>CaCl</w:t>
            </w:r>
            <w:proofErr w:type="spellEnd"/>
            <w:r w:rsidRPr="009D7E3B">
              <w:rPr>
                <w:vertAlign w:val="subscript"/>
                <w:lang w:val="en-US"/>
              </w:rPr>
              <w:t>2</w:t>
            </w:r>
            <w:r w:rsidRPr="007C6507">
              <w:t xml:space="preserve"> x 2H</w:t>
            </w:r>
            <w:r w:rsidRPr="009D7E3B">
              <w:rPr>
                <w:vertAlign w:val="subscript"/>
                <w:lang w:val="en-US"/>
              </w:rPr>
              <w:t>2</w:t>
            </w:r>
            <w:r w:rsidRPr="007C6507">
              <w:t>O</w:t>
            </w:r>
          </w:p>
        </w:tc>
        <w:tc>
          <w:tcPr>
            <w:tcW w:w="2033" w:type="dxa"/>
          </w:tcPr>
          <w:p w:rsidR="009D7E3B" w:rsidRDefault="009D7E3B" w:rsidP="009D7E3B">
            <w:pPr>
              <w:pStyle w:val="ConsPlusNormal"/>
              <w:jc w:val="center"/>
            </w:pPr>
            <w:r w:rsidRPr="007C6507">
              <w:t>0,0825</w:t>
            </w:r>
          </w:p>
        </w:tc>
      </w:tr>
    </w:tbl>
    <w:p w:rsidR="009F0B69" w:rsidRPr="007C6507" w:rsidRDefault="009F0B69" w:rsidP="009D7E3B">
      <w:pPr>
        <w:pStyle w:val="ConsPlusNormal"/>
        <w:jc w:val="both"/>
      </w:pPr>
    </w:p>
    <w:p w:rsidR="000D4134" w:rsidRDefault="000D4134">
      <w:pPr>
        <w:rPr>
          <w:rFonts w:ascii="Calibri" w:eastAsia="Times New Roman" w:hAnsi="Calibri" w:cs="Calibri"/>
          <w:b/>
          <w:szCs w:val="20"/>
          <w:lang w:eastAsia="ru-RU"/>
        </w:rPr>
      </w:pPr>
      <w:r>
        <w:rPr>
          <w:b/>
        </w:rPr>
        <w:br w:type="page"/>
      </w:r>
    </w:p>
    <w:p w:rsidR="009F0B69" w:rsidRPr="000D4134" w:rsidRDefault="009F0B69">
      <w:pPr>
        <w:pStyle w:val="ConsPlusNormal"/>
        <w:jc w:val="center"/>
        <w:outlineLvl w:val="0"/>
        <w:rPr>
          <w:b/>
        </w:rPr>
      </w:pPr>
      <w:r w:rsidRPr="000D4134">
        <w:rPr>
          <w:b/>
        </w:rPr>
        <w:lastRenderedPageBreak/>
        <w:t>БИБЛИОГРАФИЯ</w:t>
      </w:r>
    </w:p>
    <w:p w:rsidR="009F0B69" w:rsidRPr="007C6507" w:rsidRDefault="009F0B69">
      <w:pPr>
        <w:pStyle w:val="ConsPlusNormal"/>
        <w:ind w:firstLine="540"/>
        <w:jc w:val="both"/>
      </w:pPr>
    </w:p>
    <w:p w:rsidR="009F0B69" w:rsidRPr="007C6507" w:rsidRDefault="009F0B69">
      <w:pPr>
        <w:pStyle w:val="ConsPlusNormal"/>
        <w:ind w:firstLine="540"/>
        <w:jc w:val="both"/>
      </w:pPr>
      <w:bookmarkStart w:id="4" w:name="P199"/>
      <w:bookmarkEnd w:id="4"/>
      <w:r w:rsidRPr="007C6507">
        <w:t>[1] ТУ 6-09-5077-87 Кальций хлорид 2-водный.</w:t>
      </w:r>
    </w:p>
    <w:sectPr w:rsidR="009F0B69" w:rsidRPr="007C6507" w:rsidSect="00595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B69"/>
    <w:rsid w:val="000D4134"/>
    <w:rsid w:val="006A1888"/>
    <w:rsid w:val="007C6507"/>
    <w:rsid w:val="00802909"/>
    <w:rsid w:val="009D7E3B"/>
    <w:rsid w:val="009F0B69"/>
    <w:rsid w:val="00A55192"/>
    <w:rsid w:val="00C26F59"/>
    <w:rsid w:val="00EB0205"/>
    <w:rsid w:val="00F6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0B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F0B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F0B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F0B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7C6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51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0B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F0B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F0B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F0B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7C6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51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fireman.club/presentations/osnovnye-svedeniya-ob-ustanovkax-avtomaticheskogo-pozharotushe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2018-02-12T08:59:00Z</dcterms:created>
  <dcterms:modified xsi:type="dcterms:W3CDTF">2018-02-13T09:54:00Z</dcterms:modified>
</cp:coreProperties>
</file>