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59C" w:rsidRPr="00990D2B" w:rsidRDefault="00AA559C" w:rsidP="000F4B56">
      <w:pPr>
        <w:pStyle w:val="ConsPlusNormal"/>
        <w:jc w:val="right"/>
        <w:outlineLvl w:val="0"/>
      </w:pPr>
      <w:proofErr w:type="gramStart"/>
      <w:r w:rsidRPr="00990D2B">
        <w:t>Утвержден</w:t>
      </w:r>
      <w:proofErr w:type="gramEnd"/>
      <w:r w:rsidRPr="00990D2B">
        <w:t xml:space="preserve"> и введен в действие</w:t>
      </w:r>
      <w:r w:rsidR="000F4B56" w:rsidRPr="00990D2B">
        <w:br/>
      </w:r>
      <w:r w:rsidRPr="00990D2B">
        <w:t xml:space="preserve">Приказом </w:t>
      </w:r>
      <w:proofErr w:type="spellStart"/>
      <w:r w:rsidRPr="00990D2B">
        <w:t>Ростехрегулирования</w:t>
      </w:r>
      <w:proofErr w:type="spellEnd"/>
      <w:r w:rsidR="000F4B56" w:rsidRPr="00990D2B">
        <w:br/>
      </w:r>
      <w:r w:rsidRPr="00990D2B">
        <w:t>от 18 февраля 2009 г</w:t>
      </w:r>
      <w:r w:rsidR="000F4B56" w:rsidRPr="00990D2B">
        <w:t>ода</w:t>
      </w:r>
      <w:r w:rsidRPr="00990D2B">
        <w:t xml:space="preserve"> </w:t>
      </w:r>
      <w:r w:rsidR="00990D2B" w:rsidRPr="00990D2B">
        <w:t>№</w:t>
      </w:r>
      <w:r w:rsidRPr="00990D2B">
        <w:t xml:space="preserve"> 53-ст</w:t>
      </w:r>
    </w:p>
    <w:p w:rsidR="00AA559C" w:rsidRPr="00990D2B" w:rsidRDefault="00AA559C">
      <w:pPr>
        <w:pStyle w:val="ConsPlusNormal"/>
        <w:jc w:val="center"/>
      </w:pPr>
    </w:p>
    <w:p w:rsidR="00AA559C" w:rsidRPr="00990D2B" w:rsidRDefault="00AA559C">
      <w:pPr>
        <w:pStyle w:val="ConsPlusTitle"/>
        <w:jc w:val="center"/>
      </w:pPr>
      <w:r w:rsidRPr="00990D2B">
        <w:t>НАЦИОНАЛЬНЫЙ СТАНДАРТ РОССИЙСКОЙ ФЕДЕРАЦИИ</w:t>
      </w:r>
    </w:p>
    <w:p w:rsidR="00AA559C" w:rsidRPr="00990D2B" w:rsidRDefault="00AA559C">
      <w:pPr>
        <w:pStyle w:val="ConsPlusTitle"/>
        <w:jc w:val="center"/>
      </w:pPr>
    </w:p>
    <w:p w:rsidR="00AA559C" w:rsidRPr="00990D2B" w:rsidRDefault="00EA1E5C">
      <w:pPr>
        <w:pStyle w:val="ConsPlusTitle"/>
        <w:jc w:val="center"/>
      </w:pPr>
      <w:hyperlink r:id="rId5" w:history="1">
        <w:r w:rsidR="00AA559C" w:rsidRPr="00EA1E5C">
          <w:rPr>
            <w:rStyle w:val="a3"/>
            <w:color w:val="auto"/>
            <w:u w:val="none"/>
          </w:rPr>
          <w:t>УСТАНОВКИ ПОЖАРОТУШЕНИЯ АВТОМАТИЧЕСКИЕ</w:t>
        </w:r>
      </w:hyperlink>
      <w:r w:rsidR="00AA559C" w:rsidRPr="00990D2B">
        <w:t>. ОГНЕТУШАЩИЕ</w:t>
      </w:r>
    </w:p>
    <w:p w:rsidR="00AA559C" w:rsidRPr="00990D2B" w:rsidRDefault="00AA559C">
      <w:pPr>
        <w:pStyle w:val="ConsPlusTitle"/>
        <w:jc w:val="center"/>
      </w:pPr>
      <w:r w:rsidRPr="00990D2B">
        <w:t>ВЕЩЕСТВА. ЧАСТЬ 3. ГАЗОВЫЕ ОГНЕТУШАЩИЕ ВЕЩЕСТВА.</w:t>
      </w:r>
    </w:p>
    <w:p w:rsidR="00AA559C" w:rsidRPr="00990D2B" w:rsidRDefault="00AA559C">
      <w:pPr>
        <w:pStyle w:val="ConsPlusTitle"/>
        <w:jc w:val="center"/>
      </w:pPr>
      <w:r w:rsidRPr="00990D2B">
        <w:t>МЕТОДЫ ИСПЫТАНИЙ</w:t>
      </w:r>
    </w:p>
    <w:p w:rsidR="00AA559C" w:rsidRPr="00990D2B" w:rsidRDefault="00AA559C">
      <w:pPr>
        <w:pStyle w:val="ConsPlusTitle"/>
        <w:jc w:val="center"/>
      </w:pPr>
    </w:p>
    <w:p w:rsidR="00AA559C" w:rsidRPr="00990D2B" w:rsidRDefault="00AA559C">
      <w:pPr>
        <w:pStyle w:val="ConsPlusTitle"/>
        <w:jc w:val="center"/>
      </w:pPr>
      <w:proofErr w:type="spellStart"/>
      <w:r w:rsidRPr="00990D2B">
        <w:t>Automatic</w:t>
      </w:r>
      <w:proofErr w:type="spellEnd"/>
      <w:r w:rsidRPr="00990D2B">
        <w:t xml:space="preserve"> </w:t>
      </w:r>
      <w:proofErr w:type="spellStart"/>
      <w:r w:rsidRPr="00990D2B">
        <w:t>fire</w:t>
      </w:r>
      <w:proofErr w:type="spellEnd"/>
      <w:r w:rsidRPr="00990D2B">
        <w:t xml:space="preserve"> </w:t>
      </w:r>
      <w:proofErr w:type="spellStart"/>
      <w:r w:rsidRPr="00990D2B">
        <w:t>extinguishing</w:t>
      </w:r>
      <w:proofErr w:type="spellEnd"/>
      <w:r w:rsidRPr="00990D2B">
        <w:t xml:space="preserve"> </w:t>
      </w:r>
      <w:proofErr w:type="spellStart"/>
      <w:r w:rsidRPr="00990D2B">
        <w:t>systems</w:t>
      </w:r>
      <w:proofErr w:type="spellEnd"/>
      <w:r w:rsidRPr="00990D2B">
        <w:t>.</w:t>
      </w:r>
    </w:p>
    <w:p w:rsidR="00AA559C" w:rsidRPr="00990D2B" w:rsidRDefault="00AA559C">
      <w:pPr>
        <w:pStyle w:val="ConsPlusTitle"/>
        <w:jc w:val="center"/>
      </w:pPr>
      <w:proofErr w:type="spellStart"/>
      <w:r w:rsidRPr="00990D2B">
        <w:t>Fire</w:t>
      </w:r>
      <w:proofErr w:type="spellEnd"/>
      <w:r w:rsidRPr="00990D2B">
        <w:t xml:space="preserve"> </w:t>
      </w:r>
      <w:proofErr w:type="spellStart"/>
      <w:r w:rsidRPr="00990D2B">
        <w:t>extinguishing</w:t>
      </w:r>
      <w:proofErr w:type="spellEnd"/>
      <w:r w:rsidRPr="00990D2B">
        <w:t xml:space="preserve"> </w:t>
      </w:r>
      <w:proofErr w:type="spellStart"/>
      <w:r w:rsidRPr="00990D2B">
        <w:t>media</w:t>
      </w:r>
      <w:proofErr w:type="spellEnd"/>
      <w:r w:rsidRPr="00990D2B">
        <w:t xml:space="preserve">. </w:t>
      </w:r>
      <w:proofErr w:type="spellStart"/>
      <w:r w:rsidRPr="00990D2B">
        <w:t>Part</w:t>
      </w:r>
      <w:proofErr w:type="spellEnd"/>
      <w:r w:rsidRPr="00990D2B">
        <w:t xml:space="preserve"> 3.</w:t>
      </w:r>
    </w:p>
    <w:p w:rsidR="00AA559C" w:rsidRPr="00990D2B" w:rsidRDefault="00AA559C">
      <w:pPr>
        <w:pStyle w:val="ConsPlusTitle"/>
        <w:jc w:val="center"/>
      </w:pPr>
      <w:proofErr w:type="spellStart"/>
      <w:r w:rsidRPr="00990D2B">
        <w:t>Gaseous</w:t>
      </w:r>
      <w:proofErr w:type="spellEnd"/>
      <w:r w:rsidRPr="00990D2B">
        <w:t xml:space="preserve"> </w:t>
      </w:r>
      <w:proofErr w:type="spellStart"/>
      <w:r w:rsidRPr="00990D2B">
        <w:t>extinguishing</w:t>
      </w:r>
      <w:proofErr w:type="spellEnd"/>
      <w:r w:rsidRPr="00990D2B">
        <w:t xml:space="preserve"> </w:t>
      </w:r>
      <w:proofErr w:type="spellStart"/>
      <w:r w:rsidRPr="00990D2B">
        <w:t>media</w:t>
      </w:r>
      <w:proofErr w:type="spellEnd"/>
      <w:r w:rsidRPr="00990D2B">
        <w:t xml:space="preserve">. </w:t>
      </w:r>
      <w:proofErr w:type="spellStart"/>
      <w:r w:rsidRPr="00990D2B">
        <w:t>Test</w:t>
      </w:r>
      <w:proofErr w:type="spellEnd"/>
      <w:r w:rsidRPr="00990D2B">
        <w:t xml:space="preserve"> </w:t>
      </w:r>
      <w:proofErr w:type="spellStart"/>
      <w:r w:rsidRPr="00990D2B">
        <w:t>methods</w:t>
      </w:r>
      <w:proofErr w:type="spellEnd"/>
    </w:p>
    <w:p w:rsidR="00AA559C" w:rsidRPr="00990D2B" w:rsidRDefault="00AA559C">
      <w:pPr>
        <w:pStyle w:val="ConsPlusTitle"/>
        <w:jc w:val="center"/>
      </w:pPr>
    </w:p>
    <w:p w:rsidR="00AA559C" w:rsidRPr="00990D2B" w:rsidRDefault="00AA559C">
      <w:pPr>
        <w:pStyle w:val="ConsPlusTitle"/>
        <w:jc w:val="center"/>
      </w:pPr>
      <w:r w:rsidRPr="00990D2B">
        <w:t xml:space="preserve">ГОСТ </w:t>
      </w:r>
      <w:proofErr w:type="gramStart"/>
      <w:r w:rsidRPr="00990D2B">
        <w:t>Р</w:t>
      </w:r>
      <w:proofErr w:type="gramEnd"/>
      <w:r w:rsidRPr="00990D2B">
        <w:t xml:space="preserve"> 53280.3-2009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jc w:val="right"/>
      </w:pPr>
      <w:r w:rsidRPr="00990D2B">
        <w:t>Группа Л07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jc w:val="right"/>
      </w:pPr>
      <w:r w:rsidRPr="00990D2B">
        <w:t>ОКС 13.220.10</w:t>
      </w:r>
    </w:p>
    <w:p w:rsidR="00AA559C" w:rsidRPr="00990D2B" w:rsidRDefault="00AA559C">
      <w:pPr>
        <w:pStyle w:val="ConsPlusNormal"/>
        <w:jc w:val="right"/>
      </w:pPr>
    </w:p>
    <w:p w:rsidR="00AA559C" w:rsidRPr="00990D2B" w:rsidRDefault="00AA559C">
      <w:pPr>
        <w:pStyle w:val="ConsPlusNormal"/>
        <w:jc w:val="right"/>
      </w:pPr>
      <w:r w:rsidRPr="00990D2B">
        <w:t>ОКП 21 1400</w:t>
      </w:r>
    </w:p>
    <w:p w:rsidR="00AA559C" w:rsidRPr="00990D2B" w:rsidRDefault="00AA559C">
      <w:pPr>
        <w:pStyle w:val="ConsPlusNormal"/>
        <w:jc w:val="right"/>
      </w:pPr>
      <w:r w:rsidRPr="00990D2B">
        <w:t>24 1240</w:t>
      </w:r>
    </w:p>
    <w:p w:rsidR="00AA559C" w:rsidRPr="00990D2B" w:rsidRDefault="00AA559C">
      <w:pPr>
        <w:pStyle w:val="ConsPlusNormal"/>
        <w:jc w:val="right"/>
      </w:pPr>
      <w:r w:rsidRPr="00990D2B">
        <w:t>24 1279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jc w:val="right"/>
      </w:pPr>
      <w:r w:rsidRPr="00990D2B">
        <w:t>Дата введения</w:t>
      </w:r>
    </w:p>
    <w:p w:rsidR="00AA559C" w:rsidRPr="00990D2B" w:rsidRDefault="00AA559C">
      <w:pPr>
        <w:pStyle w:val="ConsPlusNormal"/>
        <w:jc w:val="right"/>
      </w:pPr>
      <w:r w:rsidRPr="00990D2B">
        <w:t>1 мая 2009 года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jc w:val="center"/>
        <w:outlineLvl w:val="1"/>
        <w:rPr>
          <w:b/>
        </w:rPr>
      </w:pPr>
      <w:r w:rsidRPr="00990D2B">
        <w:rPr>
          <w:b/>
        </w:rPr>
        <w:t>Предисловие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ind w:firstLine="540"/>
        <w:jc w:val="both"/>
      </w:pPr>
      <w:r w:rsidRPr="00990D2B">
        <w:t xml:space="preserve">Цели и принципы стандартизации в Российской Федерации установлены Федеральным законом от 27 декабря 2002 г. </w:t>
      </w:r>
      <w:r w:rsidR="00990D2B" w:rsidRPr="00990D2B">
        <w:t>№</w:t>
      </w:r>
      <w:r w:rsidRPr="00990D2B">
        <w:t xml:space="preserve"> 184-ФЗ </w:t>
      </w:r>
      <w:r w:rsidR="00990D2B" w:rsidRPr="00990D2B">
        <w:t>«</w:t>
      </w:r>
      <w:r w:rsidRPr="00990D2B">
        <w:t>О техническом регулировании</w:t>
      </w:r>
      <w:r w:rsidR="00990D2B" w:rsidRPr="00990D2B">
        <w:t>»</w:t>
      </w:r>
      <w:r w:rsidRPr="00990D2B">
        <w:t xml:space="preserve">, а правила применения национальных стандартов Российской Федерации - ГОСТ </w:t>
      </w:r>
      <w:proofErr w:type="gramStart"/>
      <w:r w:rsidRPr="00990D2B">
        <w:t>Р</w:t>
      </w:r>
      <w:proofErr w:type="gramEnd"/>
      <w:r w:rsidRPr="00990D2B">
        <w:t xml:space="preserve"> 1.0-2004 </w:t>
      </w:r>
      <w:r w:rsidR="00990D2B" w:rsidRPr="00990D2B">
        <w:t>«</w:t>
      </w:r>
      <w:r w:rsidRPr="00990D2B">
        <w:t>Стандартизация в Российской Федерации. Основные положения</w:t>
      </w:r>
      <w:r w:rsidR="00990D2B" w:rsidRPr="00990D2B">
        <w:t>»</w:t>
      </w:r>
      <w:r w:rsidRPr="00990D2B">
        <w:t>.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jc w:val="center"/>
        <w:outlineLvl w:val="1"/>
        <w:rPr>
          <w:b/>
        </w:rPr>
      </w:pPr>
      <w:r w:rsidRPr="00990D2B">
        <w:rPr>
          <w:b/>
        </w:rPr>
        <w:t>Сведения о стандарте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ind w:firstLine="540"/>
        <w:jc w:val="both"/>
      </w:pPr>
      <w:r w:rsidRPr="00990D2B">
        <w:t xml:space="preserve">1. Разработан Федеральным государственным учреждением </w:t>
      </w:r>
      <w:r w:rsidR="00990D2B" w:rsidRPr="00990D2B">
        <w:t>«</w:t>
      </w:r>
      <w:r w:rsidRPr="00990D2B">
        <w:t xml:space="preserve">Всероссийский ордена </w:t>
      </w:r>
      <w:r w:rsidR="00990D2B" w:rsidRPr="00990D2B">
        <w:t>«</w:t>
      </w:r>
      <w:r w:rsidRPr="00990D2B">
        <w:t>Знак Почета</w:t>
      </w:r>
      <w:r w:rsidR="00990D2B" w:rsidRPr="00990D2B">
        <w:t>»</w:t>
      </w:r>
      <w:r w:rsidRPr="00990D2B">
        <w:t xml:space="preserve"> научно-исследовательский институт противопожарной обороны</w:t>
      </w:r>
      <w:r w:rsidR="00990D2B" w:rsidRPr="00990D2B">
        <w:t>»</w:t>
      </w:r>
      <w:r w:rsidRPr="00990D2B">
        <w:t xml:space="preserve"> (ВНИИПО) МЧС России.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2. </w:t>
      </w:r>
      <w:proofErr w:type="gramStart"/>
      <w:r w:rsidRPr="00990D2B">
        <w:t>Внесен</w:t>
      </w:r>
      <w:proofErr w:type="gramEnd"/>
      <w:r w:rsidRPr="00990D2B">
        <w:t xml:space="preserve"> Техническим комитетом по стандартизации ТК 274 </w:t>
      </w:r>
      <w:r w:rsidR="00990D2B" w:rsidRPr="00990D2B">
        <w:t>«</w:t>
      </w:r>
      <w:r w:rsidRPr="00990D2B">
        <w:t>Пожарная безопасность</w:t>
      </w:r>
      <w:r w:rsidR="00990D2B" w:rsidRPr="00990D2B">
        <w:t>»</w:t>
      </w:r>
      <w:r w:rsidRPr="00990D2B">
        <w:t>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3. Утвержден и введен в действие Приказом Федерального агентства по техническому регулированию и метрологии от 18 февраля 2009 г. </w:t>
      </w:r>
      <w:r w:rsidR="00990D2B" w:rsidRPr="00990D2B">
        <w:t>№</w:t>
      </w:r>
      <w:r w:rsidRPr="00990D2B">
        <w:t xml:space="preserve"> 53-ст.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4. </w:t>
      </w:r>
      <w:proofErr w:type="gramStart"/>
      <w:r w:rsidRPr="00990D2B">
        <w:t>Введен впервые.</w:t>
      </w:r>
      <w:proofErr w:type="gramEnd"/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ind w:firstLine="540"/>
        <w:jc w:val="both"/>
      </w:pPr>
      <w:r w:rsidRPr="00990D2B">
        <w:t xml:space="preserve">Информация об изменениях к настоящему стандарту публикуется в ежегодно издаваемом информационном указателе </w:t>
      </w:r>
      <w:r w:rsidR="00990D2B" w:rsidRPr="00990D2B">
        <w:t>«</w:t>
      </w:r>
      <w:r w:rsidRPr="00990D2B">
        <w:t>Национальные стандарты</w:t>
      </w:r>
      <w:r w:rsidR="00990D2B" w:rsidRPr="00990D2B">
        <w:t>»</w:t>
      </w:r>
      <w:r w:rsidRPr="00990D2B">
        <w:t xml:space="preserve">, а текст изменений и поправок - в ежемесячно издаваемых информационных указателях </w:t>
      </w:r>
      <w:r w:rsidR="00990D2B" w:rsidRPr="00990D2B">
        <w:t>«</w:t>
      </w:r>
      <w:r w:rsidRPr="00990D2B">
        <w:t>Национальные стандарты</w:t>
      </w:r>
      <w:r w:rsidR="00990D2B" w:rsidRPr="00990D2B">
        <w:t>»</w:t>
      </w:r>
      <w:r w:rsidRPr="00990D2B">
        <w:t xml:space="preserve">. В случае пересмотра (замены) или отмены настоящего стандарта соответствующее уведомление будет опубликовано в ежемесячно издаваемом информационном указателе </w:t>
      </w:r>
      <w:r w:rsidR="00990D2B" w:rsidRPr="00990D2B">
        <w:t>«</w:t>
      </w:r>
      <w:r w:rsidRPr="00990D2B">
        <w:t>Национальные стандарты</w:t>
      </w:r>
      <w:r w:rsidR="00990D2B" w:rsidRPr="00990D2B">
        <w:t>»</w:t>
      </w:r>
      <w:r w:rsidRPr="00990D2B">
        <w:t>. Соответствующая информация, уведомление и тексты размещаются также в информационной системе общего пользования - на официальном сайте Федерального агентства по техническому регулированию и метрологии в сети Интернет.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jc w:val="center"/>
        <w:outlineLvl w:val="1"/>
        <w:rPr>
          <w:b/>
        </w:rPr>
      </w:pPr>
      <w:r w:rsidRPr="00990D2B">
        <w:rPr>
          <w:b/>
        </w:rPr>
        <w:t>1. Область применения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ind w:firstLine="540"/>
        <w:jc w:val="both"/>
      </w:pPr>
      <w:r w:rsidRPr="00990D2B">
        <w:t>Настоящий стандарт распространяется на газовые огнетушащие вещества (ГОТВ), которые предназначены для применения в автоматических установках пожаротушения для ликвидации горения и представляют собой индивидуальные химические соединения или их смеси (составы), которые при тушении пламени находятся в газообразном или парообразном состоянии.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Настоящий стандарт устанавливает методы определения минимальной огнетушащей концентрации (МОК).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Азот, аргон и диоксид углерода </w:t>
      </w:r>
      <w:r w:rsidR="00990D2B">
        <w:rPr>
          <w:lang w:val="en-US"/>
        </w:rPr>
        <w:t>CO</w:t>
      </w:r>
      <w:r w:rsidR="00990D2B" w:rsidRPr="00990D2B">
        <w:rPr>
          <w:vertAlign w:val="subscript"/>
          <w:lang w:val="en-US"/>
        </w:rPr>
        <w:t>2</w:t>
      </w:r>
      <w:r w:rsidRPr="00990D2B">
        <w:t xml:space="preserve"> не </w:t>
      </w:r>
      <w:bookmarkStart w:id="0" w:name="_GoBack"/>
      <w:bookmarkEnd w:id="0"/>
      <w:r w:rsidRPr="00990D2B">
        <w:t xml:space="preserve">подвергаются испытаниям по настоящему стандарту при условии, если технические характеристики азота соответствуют ГОСТ 9293, аргона - ГОСТ 10157, </w:t>
      </w:r>
      <w:r w:rsidR="00990D2B">
        <w:rPr>
          <w:lang w:val="en-US"/>
        </w:rPr>
        <w:t>CO</w:t>
      </w:r>
      <w:r w:rsidR="00990D2B" w:rsidRPr="00990D2B">
        <w:rPr>
          <w:vertAlign w:val="subscript"/>
          <w:lang w:val="en-US"/>
        </w:rPr>
        <w:t>2</w:t>
      </w:r>
      <w:r w:rsidRPr="00990D2B">
        <w:t xml:space="preserve"> - ГОСТ 8050 для высшего и первого сорта.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jc w:val="center"/>
        <w:outlineLvl w:val="1"/>
        <w:rPr>
          <w:b/>
        </w:rPr>
      </w:pPr>
      <w:r w:rsidRPr="00990D2B">
        <w:rPr>
          <w:b/>
        </w:rPr>
        <w:t>2. Нормативные ссылки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ind w:firstLine="540"/>
        <w:jc w:val="both"/>
      </w:pPr>
      <w:r w:rsidRPr="00990D2B">
        <w:t>В настоящем стандарте использованы нормативные ссылки на следующие стандарты: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ГОСТ 25828-83. Гептан нормальный эталонный. Технические условия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ГОСТ 5632-72. Стали высоколегированные и сплавы </w:t>
      </w:r>
      <w:proofErr w:type="gramStart"/>
      <w:r w:rsidRPr="00990D2B">
        <w:t>коррозионно-стойкие</w:t>
      </w:r>
      <w:proofErr w:type="gramEnd"/>
      <w:r w:rsidRPr="00990D2B">
        <w:t>, жаростойкие и жаропрочные. Марки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ГОСТ 8050-85. Двуокись углерода газообразная и жидкая. Технические условия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ГОСТ 9293-74. Азот газообразный и жидкий. Технические условия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ГОСТ 10157-79. Аргон газообразный и жидкий. Технические условия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ГОСТ 15150-69.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ГОСТ </w:t>
      </w:r>
      <w:proofErr w:type="gramStart"/>
      <w:r w:rsidRPr="00990D2B">
        <w:t>Р</w:t>
      </w:r>
      <w:proofErr w:type="gramEnd"/>
      <w:r w:rsidRPr="00990D2B">
        <w:t xml:space="preserve"> 51043-2002. Установки водяного и пенного пожаротушения автоматические. Общие технические требования. Методы испытаний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ГОСТ </w:t>
      </w:r>
      <w:proofErr w:type="gramStart"/>
      <w:r w:rsidRPr="00990D2B">
        <w:t>Р</w:t>
      </w:r>
      <w:proofErr w:type="gramEnd"/>
      <w:r w:rsidRPr="00990D2B">
        <w:t xml:space="preserve"> 51105-97. Топлива для двигателей внутреннего сгорания. Неэтилированный бензин. Технические условия.</w:t>
      </w:r>
    </w:p>
    <w:p w:rsidR="00AA559C" w:rsidRPr="00990D2B" w:rsidRDefault="00AA559C">
      <w:pPr>
        <w:pStyle w:val="ConsPlusNormal"/>
        <w:spacing w:before="220"/>
        <w:ind w:firstLine="540"/>
        <w:jc w:val="both"/>
        <w:rPr>
          <w:i/>
        </w:rPr>
      </w:pPr>
      <w:r w:rsidRPr="00990D2B">
        <w:rPr>
          <w:i/>
        </w:rPr>
        <w:t xml:space="preserve">Примечание. </w:t>
      </w:r>
      <w:proofErr w:type="gramStart"/>
      <w:r w:rsidRPr="00990D2B">
        <w:rPr>
          <w:i/>
        </w:rPr>
        <w:t xml:space="preserve">При пользовании настоящим стандартом целесообразно проверить действие ссылочных стандартов и классификаторов в информационной системе общего пользования -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</w:t>
      </w:r>
      <w:r w:rsidR="00990D2B" w:rsidRPr="00990D2B">
        <w:rPr>
          <w:i/>
        </w:rPr>
        <w:t>«</w:t>
      </w:r>
      <w:r w:rsidRPr="00990D2B">
        <w:rPr>
          <w:i/>
        </w:rPr>
        <w:t>Национальные стандарты</w:t>
      </w:r>
      <w:r w:rsidR="00990D2B" w:rsidRPr="00990D2B">
        <w:rPr>
          <w:i/>
        </w:rPr>
        <w:t>»</w:t>
      </w:r>
      <w:r w:rsidRPr="00990D2B">
        <w:rPr>
          <w:i/>
        </w:rPr>
        <w:t>, который опубликован по состоянию на 1 января текущего года, и по соответствующим ежемесячно издаваемым информационным указателям, опубликованным в текущем году.</w:t>
      </w:r>
      <w:proofErr w:type="gramEnd"/>
      <w:r w:rsidRPr="00990D2B">
        <w:rPr>
          <w:i/>
        </w:rPr>
        <w:t xml:space="preserve"> Если ссылочный документ заменен (изменен), то при пользовании настоящим стандартом следует руководствоваться замененным (измененным) документом. Если ссылочный документ отменен без замены, то положение, в котором дана ссылка на него, применяется в части, не затрагивающей эту ссылку.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jc w:val="center"/>
        <w:outlineLvl w:val="1"/>
        <w:rPr>
          <w:b/>
        </w:rPr>
      </w:pPr>
      <w:r w:rsidRPr="00990D2B">
        <w:rPr>
          <w:b/>
        </w:rPr>
        <w:t>3. Термины и определения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ind w:firstLine="540"/>
        <w:jc w:val="both"/>
      </w:pPr>
      <w:r w:rsidRPr="00990D2B">
        <w:t>В настоящем стандарте применяются следующие термины с соответствующими определениями: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lastRenderedPageBreak/>
        <w:t xml:space="preserve">3.1. </w:t>
      </w:r>
      <w:r w:rsidRPr="00EA1E5C">
        <w:rPr>
          <w:b/>
          <w:i/>
        </w:rPr>
        <w:t>Автоматическая установка газового пожаротушения:</w:t>
      </w:r>
      <w:r w:rsidRPr="00990D2B">
        <w:t xml:space="preserve"> совокупность стационарных технических сре</w:t>
      </w:r>
      <w:proofErr w:type="gramStart"/>
      <w:r w:rsidRPr="00990D2B">
        <w:t>дств дл</w:t>
      </w:r>
      <w:proofErr w:type="gramEnd"/>
      <w:r w:rsidRPr="00990D2B">
        <w:t>я тушения очагов пожара за счет автоматического выпуска газового огнетушащего вещества.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3.2. </w:t>
      </w:r>
      <w:r w:rsidRPr="00EA1E5C">
        <w:rPr>
          <w:b/>
          <w:i/>
        </w:rPr>
        <w:t xml:space="preserve">Газовое огнетушащее вещество: </w:t>
      </w:r>
      <w:r w:rsidRPr="00990D2B">
        <w:t>индивидуальное химическое соединение или смесь соединений, которые при тушении пламени находятся в газообразном или парообразном состоянии и обладают физико-химическими свойствами, позволяющими создать условия для прекращения горения.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3.3. </w:t>
      </w:r>
      <w:r w:rsidRPr="00EA1E5C">
        <w:rPr>
          <w:b/>
          <w:i/>
        </w:rPr>
        <w:t xml:space="preserve">Минимальная огнетушащая концентрация: </w:t>
      </w:r>
      <w:proofErr w:type="gramStart"/>
      <w:r w:rsidRPr="00990D2B">
        <w:t>наименьшая объемная</w:t>
      </w:r>
      <w:proofErr w:type="gramEnd"/>
      <w:r w:rsidRPr="00990D2B">
        <w:t xml:space="preserve"> концентрация огнетушащего вещества в воздухе, которая обеспечивает тушение диффузионного пламени вещества объемным способом в условиях опыта.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jc w:val="center"/>
        <w:outlineLvl w:val="1"/>
        <w:rPr>
          <w:b/>
        </w:rPr>
      </w:pPr>
      <w:r w:rsidRPr="00990D2B">
        <w:rPr>
          <w:b/>
        </w:rPr>
        <w:t>4. Порядок представления ГОТВ на испытания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ind w:firstLine="540"/>
        <w:jc w:val="both"/>
      </w:pPr>
      <w:r w:rsidRPr="00990D2B">
        <w:t>4.1. ГОТВ представляют на испытания с комплектом следующих документов: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техническая документация изготовителя на ГОТВ;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документ о качестве ГОТВ;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копия санитарно-эпидемиологического заключения о соответствии ГОТВ установленным правилам и нормативам.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4.2. Техническая документация изготовителя на ГОТВ должна содержать следующие данные: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bookmarkStart w:id="1" w:name="P74"/>
      <w:bookmarkEnd w:id="1"/>
      <w:r w:rsidRPr="00990D2B">
        <w:t>а) наименование продукта, химическую формулу, а также максимальное и минимальное содержание основного (или основных) компонента (компонентов) ГОТВ, содержание остальных компонентов;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б) температуру кипения и парциальное давление паров при нормальных условиях;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в) </w:t>
      </w:r>
      <w:proofErr w:type="spellStart"/>
      <w:r w:rsidRPr="00990D2B">
        <w:t>озоноразрушающий</w:t>
      </w:r>
      <w:proofErr w:type="spellEnd"/>
      <w:r w:rsidRPr="00990D2B">
        <w:t xml:space="preserve"> потенциал;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г) предельно допустимую концентрацию (ПДК) компонента (компонентов) в воздухе рабочей зоны;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д) </w:t>
      </w:r>
      <w:proofErr w:type="gramStart"/>
      <w:r w:rsidRPr="00990D2B">
        <w:t>минимальную объемную</w:t>
      </w:r>
      <w:proofErr w:type="gramEnd"/>
      <w:r w:rsidRPr="00990D2B">
        <w:t xml:space="preserve"> огнетушащую концентрацию при тушении н-гептана;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е) срок службы в составе установки пожаротушения (срок службы ГОТВ в составе установки пожаротушения должен составлять не менее 10 лет). Проверку указанного срока службы проводят сбором и анализом статистических данных и в соответствии с [1];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bookmarkStart w:id="2" w:name="P80"/>
      <w:bookmarkEnd w:id="2"/>
      <w:r w:rsidRPr="00990D2B">
        <w:t>ж) газ-вытеснитель (при необходимости);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bookmarkStart w:id="3" w:name="P81"/>
      <w:bookmarkEnd w:id="3"/>
      <w:r w:rsidRPr="00990D2B">
        <w:t>з) массовую долю воды;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и) плотность жидкой и паровой (или газовой) фазы при 20 °C.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4.3. Документ о качестве (паспорт, свидетельство и т.п.) должен содержать сведения: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наименование предприятия-изготовителя или его товарный знак;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номер партии;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наименование продукта и его количество;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lastRenderedPageBreak/>
        <w:t>типовые значения показателей по 4.2 а) - ж);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типовые и фактические значения показателей по 4.2 з), и).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4.4. Транспортная тара для ГОТВ, имеющих давление насыщенных паров при 25 °C выше 101,3 кПа, кроме предусмотренных изготовителем надписей и знаков должна быть маркирована надписями, содержащими значение давления в таре и меры безопасности при транспортировке и хранении.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4.5. Для испытаний по 6.3 ГОТВ, которые при нормальных условиях находятся в жидком состоянии, изготовитель поставляет насадок, а также чертеж насадка.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jc w:val="center"/>
        <w:outlineLvl w:val="1"/>
        <w:rPr>
          <w:b/>
        </w:rPr>
      </w:pPr>
      <w:r w:rsidRPr="00990D2B">
        <w:rPr>
          <w:b/>
        </w:rPr>
        <w:t>5. Порядок проведения испытаний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ind w:firstLine="540"/>
        <w:jc w:val="both"/>
      </w:pPr>
      <w:r w:rsidRPr="00990D2B">
        <w:t xml:space="preserve">5.1. Значение МОК определяют методом </w:t>
      </w:r>
      <w:r w:rsidR="00990D2B" w:rsidRPr="00990D2B">
        <w:t>«</w:t>
      </w:r>
      <w:r w:rsidRPr="00990D2B">
        <w:t>чашечной горелки</w:t>
      </w:r>
      <w:r w:rsidR="00990D2B" w:rsidRPr="00990D2B">
        <w:t>»</w:t>
      </w:r>
      <w:r w:rsidRPr="00990D2B">
        <w:t xml:space="preserve"> по 6.2 при тушении н-гептана.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Результат испытаний считается удовлетворительным, если полученное в опыте среднее значение не превышает величины, заявленной изготовителем.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При получении неудовлетворительных результатов проводят проверку </w:t>
      </w:r>
      <w:proofErr w:type="gramStart"/>
      <w:r w:rsidRPr="00990D2B">
        <w:t>минимальной объемной</w:t>
      </w:r>
      <w:proofErr w:type="gramEnd"/>
      <w:r w:rsidRPr="00990D2B">
        <w:t xml:space="preserve"> огнетушащей концентрации в огневой камере при тушении модельных очагов объемным способом по 6.3. Результаты испытаний в камере по 6.3 распространяются на весь объем испытуемой продукции.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jc w:val="center"/>
        <w:outlineLvl w:val="1"/>
        <w:rPr>
          <w:b/>
        </w:rPr>
      </w:pPr>
      <w:r w:rsidRPr="00990D2B">
        <w:rPr>
          <w:b/>
        </w:rPr>
        <w:t>6. Методы испытаний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ind w:firstLine="540"/>
        <w:jc w:val="both"/>
      </w:pPr>
      <w:r w:rsidRPr="00990D2B">
        <w:t>6.1. Испытания проводят при нормальных климатических условиях по ГОСТ 15150, если не оговорены особые условия.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bookmarkStart w:id="4" w:name="P101"/>
      <w:bookmarkEnd w:id="4"/>
      <w:r w:rsidRPr="00990D2B">
        <w:t xml:space="preserve">6.2. Определение минимальной огнетушащей концентрации ГОТВ методом </w:t>
      </w:r>
      <w:r w:rsidR="00990D2B" w:rsidRPr="00990D2B">
        <w:t>«</w:t>
      </w:r>
      <w:r w:rsidRPr="00990D2B">
        <w:t>чашечной горелки</w:t>
      </w:r>
      <w:r w:rsidR="00990D2B" w:rsidRPr="00990D2B">
        <w:t>»</w:t>
      </w:r>
      <w:r w:rsidRPr="00990D2B">
        <w:t>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Метод предусматривает определение минимального соотношения ГОТВ, находящегося в газообразном или парообразном состоянии, и воздуха, при котором достигается тушение модельного очага, установленного в потоке смеси воздуха с ГОТВ.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6.2.1. Оборудование и средства измерений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Испытание по определению МОК методом </w:t>
      </w:r>
      <w:r w:rsidR="00990D2B" w:rsidRPr="00990D2B">
        <w:t>«</w:t>
      </w:r>
      <w:r w:rsidRPr="00990D2B">
        <w:t>чашечной горелки</w:t>
      </w:r>
      <w:r w:rsidR="00990D2B" w:rsidRPr="00990D2B">
        <w:t>»</w:t>
      </w:r>
      <w:r w:rsidRPr="00990D2B">
        <w:t xml:space="preserve"> проводят на установке, принципиальная схема которой приведена на рисунке 1.</w:t>
      </w:r>
    </w:p>
    <w:p w:rsidR="00990D2B" w:rsidRDefault="00990D2B">
      <w:pPr>
        <w:rPr>
          <w:rFonts w:ascii="Calibri" w:eastAsia="Times New Roman" w:hAnsi="Calibri" w:cs="Calibri"/>
          <w:szCs w:val="20"/>
          <w:lang w:eastAsia="ru-RU"/>
        </w:rPr>
      </w:pPr>
      <w:r>
        <w:br w:type="page"/>
      </w:r>
    </w:p>
    <w:p w:rsidR="00AA559C" w:rsidRPr="00990D2B" w:rsidRDefault="00990D2B">
      <w:pPr>
        <w:pStyle w:val="ConsPlusNormal"/>
        <w:jc w:val="center"/>
      </w:pPr>
      <w:r w:rsidRPr="00990D2B">
        <w:rPr>
          <w:position w:val="-187"/>
        </w:rPr>
        <w:lastRenderedPageBreak/>
        <w:pict>
          <v:shape id="_x0000_i1025" style="width:205.5pt;height:198.75pt" coordsize="" o:spt="100" adj="0,,0" path="" filled="f" stroked="f">
            <v:stroke joinstyle="miter"/>
            <v:imagedata r:id="rId6" o:title="base_44_11641_32770"/>
            <v:formulas/>
            <v:path o:connecttype="segments"/>
          </v:shape>
        </w:pic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jc w:val="center"/>
      </w:pPr>
      <w:r w:rsidRPr="00990D2B">
        <w:t xml:space="preserve">1 </w:t>
      </w:r>
      <w:r w:rsidR="00990D2B" w:rsidRPr="00990D2B">
        <w:t>–</w:t>
      </w:r>
      <w:r w:rsidRPr="00990D2B">
        <w:t xml:space="preserve"> реакционная труба; 2 </w:t>
      </w:r>
      <w:r w:rsidR="00990D2B" w:rsidRPr="00990D2B">
        <w:t>–</w:t>
      </w:r>
      <w:r w:rsidRPr="00990D2B">
        <w:t xml:space="preserve"> чашечная горелка;</w:t>
      </w:r>
      <w:r w:rsidR="00990D2B" w:rsidRPr="00990D2B">
        <w:t xml:space="preserve"> </w:t>
      </w:r>
      <w:r w:rsidRPr="00990D2B">
        <w:t xml:space="preserve">3 </w:t>
      </w:r>
      <w:r w:rsidR="00990D2B" w:rsidRPr="00990D2B">
        <w:t>–</w:t>
      </w:r>
      <w:r w:rsidRPr="00990D2B">
        <w:t xml:space="preserve"> стеклянный бой; 4 </w:t>
      </w:r>
      <w:r w:rsidR="00990D2B" w:rsidRPr="00990D2B">
        <w:t>–</w:t>
      </w:r>
      <w:r w:rsidRPr="00990D2B">
        <w:t xml:space="preserve"> основание;</w:t>
      </w:r>
      <w:r w:rsidR="00990D2B" w:rsidRPr="00990D2B">
        <w:t xml:space="preserve"> </w:t>
      </w:r>
      <w:r w:rsidRPr="00990D2B">
        <w:t xml:space="preserve">5 </w:t>
      </w:r>
      <w:r w:rsidR="00990D2B" w:rsidRPr="00990D2B">
        <w:t>–</w:t>
      </w:r>
      <w:r w:rsidRPr="00990D2B">
        <w:t xml:space="preserve"> расширительная емкость; 6 </w:t>
      </w:r>
      <w:r w:rsidR="00990D2B" w:rsidRPr="00990D2B">
        <w:t>–</w:t>
      </w:r>
      <w:r w:rsidRPr="00990D2B">
        <w:t xml:space="preserve"> подъемный столик;</w:t>
      </w:r>
      <w:r w:rsidR="00990D2B" w:rsidRPr="00990D2B">
        <w:t xml:space="preserve"> </w:t>
      </w:r>
      <w:r w:rsidRPr="00990D2B">
        <w:t xml:space="preserve">7 </w:t>
      </w:r>
      <w:r w:rsidR="00990D2B" w:rsidRPr="00990D2B">
        <w:t>–</w:t>
      </w:r>
      <w:r w:rsidRPr="00990D2B">
        <w:t xml:space="preserve"> колпак; 8 </w:t>
      </w:r>
      <w:r w:rsidR="00990D2B" w:rsidRPr="00990D2B">
        <w:t>–</w:t>
      </w:r>
      <w:r w:rsidRPr="00990D2B">
        <w:t xml:space="preserve"> трехходовой вентиль;</w:t>
      </w:r>
      <w:r w:rsidR="00990D2B" w:rsidRPr="00990D2B">
        <w:t xml:space="preserve"> </w:t>
      </w:r>
      <w:r w:rsidRPr="00990D2B">
        <w:t xml:space="preserve">9 </w:t>
      </w:r>
      <w:r w:rsidR="00990D2B" w:rsidRPr="00990D2B">
        <w:t>–</w:t>
      </w:r>
      <w:r w:rsidRPr="00990D2B">
        <w:t xml:space="preserve"> газовый расходомер; 10 </w:t>
      </w:r>
      <w:r w:rsidR="00990D2B" w:rsidRPr="00990D2B">
        <w:t>–</w:t>
      </w:r>
      <w:r w:rsidRPr="00990D2B">
        <w:t xml:space="preserve"> воздушный расходомер;</w:t>
      </w:r>
      <w:r w:rsidR="00990D2B" w:rsidRPr="00990D2B">
        <w:t xml:space="preserve"> </w:t>
      </w:r>
      <w:r w:rsidRPr="00990D2B">
        <w:t xml:space="preserve">11 </w:t>
      </w:r>
      <w:r w:rsidR="00990D2B" w:rsidRPr="00990D2B">
        <w:t>–</w:t>
      </w:r>
      <w:r w:rsidRPr="00990D2B">
        <w:t xml:space="preserve"> воздуходувка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jc w:val="center"/>
      </w:pPr>
      <w:r w:rsidRPr="00990D2B">
        <w:t>Рисунок 1. Принципиальная схема установки</w:t>
      </w:r>
      <w:r w:rsidR="00990D2B" w:rsidRPr="00990D2B">
        <w:t xml:space="preserve"> </w:t>
      </w:r>
      <w:r w:rsidRPr="00990D2B">
        <w:t>для определения минимальной огнетушащей концентрации</w:t>
      </w:r>
      <w:r w:rsidR="00990D2B" w:rsidRPr="00990D2B">
        <w:t xml:space="preserve"> </w:t>
      </w:r>
      <w:r w:rsidRPr="00990D2B">
        <w:t xml:space="preserve">методом </w:t>
      </w:r>
      <w:r w:rsidR="00990D2B" w:rsidRPr="00990D2B">
        <w:t>«</w:t>
      </w:r>
      <w:r w:rsidRPr="00990D2B">
        <w:t>чашечной горелки</w:t>
      </w:r>
      <w:r w:rsidR="00990D2B" w:rsidRPr="00990D2B">
        <w:t>»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ind w:firstLine="540"/>
        <w:jc w:val="both"/>
      </w:pPr>
      <w:r w:rsidRPr="00990D2B">
        <w:t xml:space="preserve">Установка состоит </w:t>
      </w:r>
      <w:proofErr w:type="gramStart"/>
      <w:r w:rsidRPr="00990D2B">
        <w:t>из</w:t>
      </w:r>
      <w:proofErr w:type="gramEnd"/>
      <w:r w:rsidRPr="00990D2B">
        <w:t>: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proofErr w:type="gramStart"/>
      <w:r w:rsidRPr="00990D2B">
        <w:t xml:space="preserve">реакционной трубы, представляющей собой стеклянный цилиндр из термостойкого стекла с внутренним диаметром (85 </w:t>
      </w:r>
      <w:r w:rsidR="00990D2B" w:rsidRPr="00990D2B">
        <w:t>±</w:t>
      </w:r>
      <w:r w:rsidRPr="00990D2B">
        <w:t xml:space="preserve"> 5) мм и длиной (365 </w:t>
      </w:r>
      <w:r w:rsidR="00990D2B" w:rsidRPr="00990D2B">
        <w:t>±</w:t>
      </w:r>
      <w:r w:rsidRPr="00990D2B">
        <w:t xml:space="preserve"> 5) мм, с колпаком для предотвращения влияния внешних условий в виде усеченного конуса с диаметром верхнего отверстия в пределах от 15 мм до 30 мм;</w:t>
      </w:r>
      <w:proofErr w:type="gramEnd"/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модельного очага - </w:t>
      </w:r>
      <w:r w:rsidR="00990D2B" w:rsidRPr="00990D2B">
        <w:t>«</w:t>
      </w:r>
      <w:r w:rsidRPr="00990D2B">
        <w:t>чашечной горелки</w:t>
      </w:r>
      <w:r w:rsidR="00990D2B" w:rsidRPr="00990D2B">
        <w:t>»</w:t>
      </w:r>
      <w:r w:rsidRPr="00990D2B">
        <w:t xml:space="preserve"> из негорючего, термостойкого материала с внутренним диаметром (21,5 </w:t>
      </w:r>
      <w:r w:rsidR="00990D2B" w:rsidRPr="00990D2B">
        <w:t>±</w:t>
      </w:r>
      <w:r w:rsidRPr="00990D2B">
        <w:t xml:space="preserve"> 1,0) мм, верхний срез которой расположен на (305 </w:t>
      </w:r>
      <w:r w:rsidR="00990D2B" w:rsidRPr="00990D2B">
        <w:t>±</w:t>
      </w:r>
      <w:r w:rsidRPr="00990D2B">
        <w:t xml:space="preserve"> 2) мм ниже верхнего среза трубы;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расширительной емкости для горючей жидкости с внутренним диаметром не менее 45 мм и вместимостью не менее 150 мл;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основания для трубы с газовым вводом в реакционную трубу, устроенным так, чтобы газовый поток проходил через слой стеклянного боя (кусочков трубок, обломков химической посуды с максимальными размерами не более 10 мм) толщиной от 20 мм до 40 мм;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воздуходувки с производительностью, регулируемой в пределах от 1,0 м3/ч до 2,6 м3/ч.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При проведении испытаний применяют следующие средства измерений: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расходомер газовый с пределом измерения от 0,01 м3/ч до 0,063 м3/ч по испытываемому газу и классом точности 2,5, имеющий </w:t>
      </w:r>
      <w:proofErr w:type="spellStart"/>
      <w:r w:rsidRPr="00990D2B">
        <w:t>тарировочную</w:t>
      </w:r>
      <w:proofErr w:type="spellEnd"/>
      <w:r w:rsidRPr="00990D2B">
        <w:t xml:space="preserve"> зависимость расхода испытуемого газа от показаний;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расходомер газовый с пределом измерения от 0,5 м3/ч до 2,5 м3/ч по воздуху и классом точности не ниже 2,5;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секундомер с пределом измерения не менее 15 мин и ценой деления не более 0,2 с.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При проведении испытаний используют н-гептан по ГОСТ 25828.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lastRenderedPageBreak/>
        <w:t>6.2.2. Подготовка к проведению испытания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Подключают к установке воздуходувку и сосуд с испытуемым ГОТВ. При необходимости создают условия для перевода ГОТВ в парообразное состояние перед смешением с воздухом. В расширительную емкость заливают горючую жидкость до половины и изменением ее высоты регулируют уровень жидкости в горелке примерно на 1 мм ниже ее среза (после каждого тушения необходимо удалять с поверхности горелки 10 см3 горючей жидкости, восстанавливая первоначальный уровень). Устанавливают трехходовой вентиль в положение подачи ГОТВ в атмосферу.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6.2.3. Проведение испытания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Условия проведения испытания: температура окружающей среды от 19 °C до 22 °C, давление от 84 кПа до 106,7 кПа, относительная влажность воздуха от 40% </w:t>
      </w:r>
      <w:proofErr w:type="gramStart"/>
      <w:r w:rsidRPr="00990D2B">
        <w:t>до</w:t>
      </w:r>
      <w:proofErr w:type="gramEnd"/>
      <w:r w:rsidRPr="00990D2B">
        <w:t xml:space="preserve"> 80%.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Испытание проводят в вытяжном шкафу при включенной вентиляции.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proofErr w:type="gramStart"/>
      <w:r w:rsidRPr="00990D2B">
        <w:t>Включают подачу воздуха и регулируют его расход через расходомер в пределах от 0,31 л/с до 0,67 л/с. Установленный расход поддерживают в течение испытания.</w:t>
      </w:r>
      <w:proofErr w:type="gramEnd"/>
      <w:r w:rsidRPr="00990D2B">
        <w:t xml:space="preserve"> Поджигают горючую жидкость в горелке. Регулируют высоту пламени в пределах от 40 мм до 80 мм, изменяя расположение расширительной емкости по высоте.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Включают подачу ГОТВ в трубу с помощью трехходового вентиля и постепенно увеличивают его расход. В момент тушения пламени прекращают регулировку расхода ГОТВ, фиксируют показания расходомера и переключают подачу ГОТВ в атмосферу.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Повторяют процедуру испытания, подавая в трубу </w:t>
      </w:r>
      <w:proofErr w:type="gramStart"/>
      <w:r w:rsidRPr="00990D2B">
        <w:t>испытываемое</w:t>
      </w:r>
      <w:proofErr w:type="gramEnd"/>
      <w:r w:rsidRPr="00990D2B">
        <w:t xml:space="preserve"> ГОТВ с ранее найденным расходом. Фиксируют время тушения.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Повторяя процедуру испытания и изменяя расход ГОТВ, находят его минимальное значение </w:t>
      </w:r>
      <w:r w:rsidR="009E78B1" w:rsidRPr="00990D2B">
        <w:rPr>
          <w:position w:val="-8"/>
        </w:rPr>
        <w:pict>
          <v:shape id="_x0000_i1026" style="width:23.25pt;height:20.25pt" coordsize="" o:spt="100" adj="0,,0" path="" filled="f" stroked="f">
            <v:stroke joinstyle="miter"/>
            <v:imagedata r:id="rId7" o:title="base_44_11641_32771"/>
            <v:formulas/>
            <v:path o:connecttype="segments"/>
          </v:shape>
        </w:pict>
      </w:r>
      <w:r w:rsidRPr="00990D2B">
        <w:t xml:space="preserve">, при котором достигается время тушения (10 </w:t>
      </w:r>
      <w:r w:rsidR="00990D2B" w:rsidRPr="00990D2B">
        <w:t>±</w:t>
      </w:r>
      <w:r w:rsidRPr="00990D2B">
        <w:t xml:space="preserve"> 2) с. Уменьшение найденного значения расхода на одно деление шкалы расходомера должно приводить к отсутствию тушения.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6.2.4. Обработка результатов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proofErr w:type="gramStart"/>
      <w:r w:rsidRPr="00990D2B">
        <w:t>Минимальную объемную</w:t>
      </w:r>
      <w:proofErr w:type="gramEnd"/>
      <w:r w:rsidRPr="00990D2B">
        <w:t xml:space="preserve"> огнетушащую концентрацию ГОТВ </w:t>
      </w:r>
      <w:r w:rsidR="00990D2B">
        <w:rPr>
          <w:lang w:val="en-US"/>
        </w:rPr>
        <w:t>C</w:t>
      </w:r>
      <w:r w:rsidR="00990D2B" w:rsidRPr="00990D2B">
        <w:rPr>
          <w:vertAlign w:val="subscript"/>
        </w:rPr>
        <w:t>МОК</w:t>
      </w:r>
      <w:r w:rsidRPr="00990D2B">
        <w:t>, % об., вычисляют по формуле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9E78B1">
      <w:pPr>
        <w:pStyle w:val="ConsPlusNormal"/>
        <w:jc w:val="center"/>
      </w:pPr>
      <w:r w:rsidRPr="00990D2B">
        <w:rPr>
          <w:position w:val="-25"/>
        </w:rPr>
        <w:pict>
          <v:shape id="_x0000_i1027" style="width:86.25pt;height:36.75pt" coordsize="" o:spt="100" adj="0,,0" path="" filled="f" stroked="f">
            <v:stroke joinstyle="miter"/>
            <v:imagedata r:id="rId8" o:title="base_44_11641_32773"/>
            <v:formulas/>
            <v:path o:connecttype="segments"/>
          </v:shape>
        </w:pict>
      </w:r>
      <w:r w:rsidR="00AA559C" w:rsidRPr="00990D2B">
        <w:t>, (1)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ind w:firstLine="540"/>
        <w:jc w:val="both"/>
      </w:pPr>
      <w:r w:rsidRPr="00990D2B">
        <w:t xml:space="preserve">где </w:t>
      </w:r>
      <w:proofErr w:type="spellStart"/>
      <w:r w:rsidR="00990D2B">
        <w:rPr>
          <w:lang w:val="en-US"/>
        </w:rPr>
        <w:t>V</w:t>
      </w:r>
      <w:r w:rsidR="00990D2B" w:rsidRPr="00990D2B">
        <w:rPr>
          <w:vertAlign w:val="subscript"/>
          <w:lang w:val="en-US"/>
        </w:rPr>
        <w:t>min</w:t>
      </w:r>
      <w:proofErr w:type="spellEnd"/>
      <w:r w:rsidRPr="00990D2B">
        <w:t xml:space="preserve"> </w:t>
      </w:r>
      <w:r w:rsidR="00990D2B">
        <w:t>–</w:t>
      </w:r>
      <w:r w:rsidRPr="00990D2B">
        <w:t xml:space="preserve"> </w:t>
      </w:r>
      <w:proofErr w:type="gramStart"/>
      <w:r w:rsidRPr="00990D2B">
        <w:t>минимальный объемный</w:t>
      </w:r>
      <w:proofErr w:type="gramEnd"/>
      <w:r w:rsidRPr="00990D2B">
        <w:t xml:space="preserve"> расход ГОТВ, при котором достигается указанное в 6.3.3 время тушения, л/с;</w:t>
      </w:r>
    </w:p>
    <w:p w:rsidR="00AA559C" w:rsidRPr="00990D2B" w:rsidRDefault="006A233B">
      <w:pPr>
        <w:pStyle w:val="ConsPlusNormal"/>
        <w:spacing w:before="220"/>
        <w:ind w:firstLine="540"/>
        <w:jc w:val="both"/>
      </w:pPr>
      <w:proofErr w:type="gramStart"/>
      <w:r>
        <w:rPr>
          <w:position w:val="-8"/>
          <w:lang w:val="en-US"/>
        </w:rPr>
        <w:t>V</w:t>
      </w:r>
      <w:r w:rsidRPr="006A233B">
        <w:rPr>
          <w:position w:val="-8"/>
          <w:vertAlign w:val="subscript"/>
        </w:rPr>
        <w:t>в</w:t>
      </w:r>
      <w:r w:rsidR="00AA559C" w:rsidRPr="00990D2B">
        <w:t>- расход воздуха через расходомер, л/с.</w:t>
      </w:r>
      <w:proofErr w:type="gramEnd"/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За результат определения </w:t>
      </w:r>
      <w:proofErr w:type="gramStart"/>
      <w:r w:rsidRPr="00990D2B">
        <w:t>минимальной объемной</w:t>
      </w:r>
      <w:proofErr w:type="gramEnd"/>
      <w:r w:rsidRPr="00990D2B">
        <w:t xml:space="preserve"> огнетушащей концентрации принимают среднеарифметическое пяти определений для </w:t>
      </w:r>
      <w:proofErr w:type="spellStart"/>
      <w:r w:rsidR="006A233B">
        <w:rPr>
          <w:lang w:val="en-US"/>
        </w:rPr>
        <w:t>V</w:t>
      </w:r>
      <w:r w:rsidR="006A233B" w:rsidRPr="00990D2B">
        <w:rPr>
          <w:vertAlign w:val="subscript"/>
          <w:lang w:val="en-US"/>
        </w:rPr>
        <w:t>min</w:t>
      </w:r>
      <w:proofErr w:type="spellEnd"/>
      <w:r w:rsidRPr="00990D2B">
        <w:t>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Сходимость результатов не должна превышать 5%.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bookmarkStart w:id="5" w:name="P148"/>
      <w:bookmarkEnd w:id="5"/>
      <w:r w:rsidRPr="00990D2B">
        <w:t xml:space="preserve">6.3. Определение </w:t>
      </w:r>
      <w:proofErr w:type="gramStart"/>
      <w:r w:rsidRPr="00990D2B">
        <w:t>минимальной объемной</w:t>
      </w:r>
      <w:proofErr w:type="gramEnd"/>
      <w:r w:rsidRPr="00990D2B">
        <w:t xml:space="preserve"> огнетушащей концентрации в огневой камере при тушении модельных очагов объемным способом.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Метод предусматривает тушение модельных очагов в огневой камере при подаче ГОТВ в </w:t>
      </w:r>
      <w:r w:rsidRPr="00990D2B">
        <w:lastRenderedPageBreak/>
        <w:t>количестве, которое создает в объеме камеры минимальную огнетушащую концентрацию, заявленную изготовителем.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6.3.1. Оборудование и средства измерений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proofErr w:type="gramStart"/>
      <w:r w:rsidRPr="00990D2B">
        <w:t xml:space="preserve">Огневая камера представляет собой помещение из негорючих материалов с параметром </w:t>
      </w:r>
      <w:proofErr w:type="spellStart"/>
      <w:r w:rsidRPr="00990D2B">
        <w:t>негерметичности</w:t>
      </w:r>
      <w:proofErr w:type="spellEnd"/>
      <w:r w:rsidRPr="00990D2B">
        <w:t xml:space="preserve"> не более </w:t>
      </w:r>
      <w:r w:rsidR="006A233B">
        <w:rPr>
          <w:lang w:val="en-US"/>
        </w:rPr>
        <w:t>0</w:t>
      </w:r>
      <w:r w:rsidR="006A233B">
        <w:t>,001 м</w:t>
      </w:r>
      <w:r w:rsidR="006A233B" w:rsidRPr="006A233B">
        <w:rPr>
          <w:vertAlign w:val="superscript"/>
        </w:rPr>
        <w:t>-1</w:t>
      </w:r>
      <w:r w:rsidRPr="00990D2B">
        <w:t>, объемом от 30 м3 до 150 м3, высотой z не более 6 м, с отношением длины x к ширине y в пределах от 1:1 до 1:1,3 и длины x к высоте z в пределах от 1:0,5 до 1:1,2.</w:t>
      </w:r>
      <w:proofErr w:type="gramEnd"/>
      <w:r w:rsidRPr="00990D2B">
        <w:t xml:space="preserve"> Огневая камера оборудована трубопроводом для подачи ГОТВ и газовыми насадками согласно схеме, приведенной на рисунке 2.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990D2B">
      <w:pPr>
        <w:pStyle w:val="ConsPlusNormal"/>
        <w:jc w:val="center"/>
      </w:pPr>
      <w:r w:rsidRPr="00990D2B">
        <w:rPr>
          <w:position w:val="-272"/>
        </w:rPr>
        <w:pict>
          <v:shape id="_x0000_i1028" style="width:283.5pt;height:283.5pt" coordsize="" o:spt="100" adj="0,,0" path="" filled="f" stroked="f">
            <v:stroke joinstyle="miter"/>
            <v:imagedata r:id="rId9" o:title="base_44_11641_32778"/>
            <v:formulas/>
            <v:path o:connecttype="segments"/>
          </v:shape>
        </w:pic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jc w:val="center"/>
      </w:pPr>
      <w:r w:rsidRPr="00990D2B">
        <w:t xml:space="preserve">1 </w:t>
      </w:r>
      <w:r w:rsidR="00990D2B" w:rsidRPr="00990D2B">
        <w:t>–</w:t>
      </w:r>
      <w:r w:rsidRPr="00990D2B">
        <w:t xml:space="preserve"> насадки; 2 </w:t>
      </w:r>
      <w:r w:rsidR="00990D2B" w:rsidRPr="00990D2B">
        <w:t>–</w:t>
      </w:r>
      <w:r w:rsidRPr="00990D2B">
        <w:t xml:space="preserve"> трубопровод; 3 </w:t>
      </w:r>
      <w:r w:rsidR="00990D2B" w:rsidRPr="00990D2B">
        <w:t>–</w:t>
      </w:r>
      <w:r w:rsidRPr="00990D2B">
        <w:t xml:space="preserve"> запорный клапан;</w:t>
      </w:r>
      <w:r w:rsidR="00990D2B" w:rsidRPr="00990D2B">
        <w:t xml:space="preserve"> </w:t>
      </w:r>
      <w:r w:rsidRPr="00990D2B">
        <w:t xml:space="preserve">4 </w:t>
      </w:r>
      <w:r w:rsidR="00990D2B" w:rsidRPr="00990D2B">
        <w:t>–</w:t>
      </w:r>
      <w:r w:rsidRPr="00990D2B">
        <w:t xml:space="preserve"> регулирующий клапан; 5 </w:t>
      </w:r>
      <w:r w:rsidR="00990D2B" w:rsidRPr="00990D2B">
        <w:t>–</w:t>
      </w:r>
      <w:r w:rsidRPr="00990D2B">
        <w:t xml:space="preserve"> коллектор; 6 </w:t>
      </w:r>
      <w:r w:rsidR="00990D2B" w:rsidRPr="00990D2B">
        <w:t>–</w:t>
      </w:r>
      <w:r w:rsidRPr="00990D2B">
        <w:t xml:space="preserve"> горелка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jc w:val="center"/>
      </w:pPr>
      <w:r w:rsidRPr="00990D2B">
        <w:t>Рисунок 2. Схема расположения газовой арматуры</w:t>
      </w:r>
      <w:r w:rsidR="00990D2B" w:rsidRPr="00990D2B">
        <w:t xml:space="preserve"> </w:t>
      </w:r>
      <w:r w:rsidRPr="00990D2B">
        <w:t>и горелок в огневой камере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ind w:firstLine="540"/>
        <w:jc w:val="both"/>
      </w:pPr>
      <w:r w:rsidRPr="00990D2B">
        <w:t xml:space="preserve">В качестве модельных очагов используются цилиндрические горелки (4 шт.) из нержавеющей стали или стали по ГОСТ 5632 любой марки толщиной стенки (5 </w:t>
      </w:r>
      <w:r w:rsidR="00990D2B" w:rsidRPr="00990D2B">
        <w:t>±</w:t>
      </w:r>
      <w:r w:rsidRPr="00990D2B">
        <w:t xml:space="preserve"> 1) мм с внутренним диаметром (80 </w:t>
      </w:r>
      <w:r w:rsidR="00990D2B" w:rsidRPr="00990D2B">
        <w:t>±</w:t>
      </w:r>
      <w:r w:rsidRPr="00990D2B">
        <w:t xml:space="preserve"> 5) мм и высотой (110 </w:t>
      </w:r>
      <w:r w:rsidR="00990D2B" w:rsidRPr="00990D2B">
        <w:t>±</w:t>
      </w:r>
      <w:r w:rsidRPr="00990D2B">
        <w:t xml:space="preserve"> 2) мм, которые имеют защитные экраны. Схема горелки приведена на рис. 3.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990D2B">
      <w:pPr>
        <w:pStyle w:val="ConsPlusNormal"/>
        <w:jc w:val="center"/>
      </w:pPr>
      <w:r w:rsidRPr="00990D2B">
        <w:rPr>
          <w:position w:val="-273"/>
        </w:rPr>
        <w:lastRenderedPageBreak/>
        <w:pict>
          <v:shape id="_x0000_i1029" style="width:248.25pt;height:284.25pt" coordsize="" o:spt="100" adj="0,,0" path="" filled="f" stroked="f">
            <v:stroke joinstyle="miter"/>
            <v:imagedata r:id="rId10" o:title="base_44_11641_32779"/>
            <v:formulas/>
            <v:path o:connecttype="segments"/>
          </v:shape>
        </w:pic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jc w:val="center"/>
      </w:pPr>
      <w:r w:rsidRPr="00990D2B">
        <w:t xml:space="preserve">1 </w:t>
      </w:r>
      <w:r w:rsidR="00990D2B" w:rsidRPr="00990D2B">
        <w:t>–</w:t>
      </w:r>
      <w:r w:rsidRPr="00990D2B">
        <w:t xml:space="preserve"> горелка; 2 </w:t>
      </w:r>
      <w:r w:rsidR="00990D2B" w:rsidRPr="00990D2B">
        <w:t>–</w:t>
      </w:r>
      <w:r w:rsidRPr="00990D2B">
        <w:t xml:space="preserve"> защитный кожух;</w:t>
      </w:r>
      <w:r w:rsidR="00990D2B" w:rsidRPr="00990D2B">
        <w:t xml:space="preserve"> </w:t>
      </w:r>
      <w:r w:rsidRPr="00990D2B">
        <w:t xml:space="preserve">3 </w:t>
      </w:r>
      <w:r w:rsidR="00990D2B" w:rsidRPr="00990D2B">
        <w:t>–</w:t>
      </w:r>
      <w:r w:rsidRPr="00990D2B">
        <w:t xml:space="preserve"> соединительные стержни; 4 </w:t>
      </w:r>
      <w:r w:rsidR="00990D2B" w:rsidRPr="00990D2B">
        <w:t>–</w:t>
      </w:r>
      <w:r w:rsidRPr="00990D2B">
        <w:t xml:space="preserve"> полка;</w:t>
      </w:r>
      <w:r w:rsidR="00990D2B" w:rsidRPr="00990D2B">
        <w:t xml:space="preserve"> </w:t>
      </w:r>
      <w:r w:rsidRPr="00990D2B">
        <w:t xml:space="preserve">5 </w:t>
      </w:r>
      <w:r w:rsidR="00990D2B" w:rsidRPr="00990D2B">
        <w:t>–</w:t>
      </w:r>
      <w:r w:rsidRPr="00990D2B">
        <w:t xml:space="preserve"> горючая жидкость</w:t>
      </w:r>
    </w:p>
    <w:p w:rsidR="00AA559C" w:rsidRPr="00990D2B" w:rsidRDefault="00AA559C">
      <w:pPr>
        <w:pStyle w:val="ConsPlusNormal"/>
        <w:jc w:val="center"/>
      </w:pPr>
      <w:r w:rsidRPr="00990D2B">
        <w:t>(стрелками показано направление движения воздуха)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jc w:val="center"/>
      </w:pPr>
      <w:r w:rsidRPr="00990D2B">
        <w:t>Рисунок 3. Схема горелки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ind w:firstLine="540"/>
        <w:jc w:val="both"/>
      </w:pPr>
      <w:r w:rsidRPr="00990D2B">
        <w:t xml:space="preserve">На потолке камеры установлены трубопровод с газовыми насадками, которые должны соответствовать требованиям изготовителей ГОТВ, или дренчерные оросители по ГОСТ </w:t>
      </w:r>
      <w:proofErr w:type="gramStart"/>
      <w:r w:rsidRPr="00990D2B">
        <w:t>Р</w:t>
      </w:r>
      <w:proofErr w:type="gramEnd"/>
      <w:r w:rsidRPr="00990D2B">
        <w:t xml:space="preserve"> 51043. Количество </w:t>
      </w:r>
      <w:proofErr w:type="spellStart"/>
      <w:r w:rsidRPr="00990D2B">
        <w:t>насадков</w:t>
      </w:r>
      <w:proofErr w:type="spellEnd"/>
      <w:r w:rsidRPr="00990D2B">
        <w:t xml:space="preserve"> - от одного до трех. Для ГОТВ, которые при нормальных условиях находятся в жидком состоянии, применяются насадки изготовителей ГОТВ.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Горючая жидкость в горелках - н-гептан по ГОСТ 25828 или бензин Регуляр-92 по ГОСТ </w:t>
      </w:r>
      <w:proofErr w:type="gramStart"/>
      <w:r w:rsidRPr="00990D2B">
        <w:t>Р</w:t>
      </w:r>
      <w:proofErr w:type="gramEnd"/>
      <w:r w:rsidRPr="00990D2B">
        <w:t xml:space="preserve"> 51105.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Средства измерений: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секундомер с пределом измерения не менее 15 мин и ценой деления не более 0,2 </w:t>
      </w:r>
      <w:proofErr w:type="gramStart"/>
      <w:r w:rsidRPr="00990D2B">
        <w:t>с</w:t>
      </w:r>
      <w:proofErr w:type="gramEnd"/>
      <w:r w:rsidRPr="00990D2B">
        <w:t>;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весы с пределом измерений не более 150 кг и ценой деления не более 0,05 кг.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6.3.2. Подготовка к проведению испытания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6.3.2.1. Вычисляют количество ГОТВ</w:t>
      </w:r>
      <w:r w:rsidR="006A233B">
        <w:t xml:space="preserve"> </w:t>
      </w:r>
      <w:proofErr w:type="spellStart"/>
      <w:r w:rsidR="006A233B">
        <w:rPr>
          <w:lang w:val="en-US"/>
        </w:rPr>
        <w:t>M</w:t>
      </w:r>
      <w:r w:rsidR="006A233B" w:rsidRPr="006A233B">
        <w:rPr>
          <w:vertAlign w:val="subscript"/>
          <w:lang w:val="en-US"/>
        </w:rPr>
        <w:t>p</w:t>
      </w:r>
      <w:proofErr w:type="spellEnd"/>
      <w:r w:rsidRPr="00990D2B">
        <w:t>, кг, для подачи в огневую камеру по формулам: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для ГОТВ - сжиженных газов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9E78B1">
      <w:pPr>
        <w:pStyle w:val="ConsPlusNormal"/>
        <w:jc w:val="center"/>
      </w:pPr>
      <w:r w:rsidRPr="00990D2B">
        <w:rPr>
          <w:position w:val="-25"/>
        </w:rPr>
        <w:pict>
          <v:shape id="_x0000_i1030" style="width:115.5pt;height:36.75pt" coordsize="" o:spt="100" adj="0,,0" path="" filled="f" stroked="f">
            <v:stroke joinstyle="miter"/>
            <v:imagedata r:id="rId11" o:title="base_44_11641_32781"/>
            <v:formulas/>
            <v:path o:connecttype="segments"/>
          </v:shape>
        </w:pict>
      </w:r>
      <w:r w:rsidR="00AA559C" w:rsidRPr="00990D2B">
        <w:t>; (2)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ind w:firstLine="540"/>
        <w:jc w:val="both"/>
      </w:pPr>
      <w:r w:rsidRPr="00990D2B">
        <w:t>для ГОТВ - сжатых газов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9E78B1">
      <w:pPr>
        <w:pStyle w:val="ConsPlusNormal"/>
        <w:jc w:val="center"/>
      </w:pPr>
      <w:r w:rsidRPr="00990D2B">
        <w:rPr>
          <w:position w:val="-30"/>
        </w:rPr>
        <w:lastRenderedPageBreak/>
        <w:pict>
          <v:shape id="_x0000_i1031" style="width:139.5pt;height:42pt" coordsize="" o:spt="100" adj="0,,0" path="" filled="f" stroked="f">
            <v:stroke joinstyle="miter"/>
            <v:imagedata r:id="rId12" o:title="base_44_11641_32782"/>
            <v:formulas/>
            <v:path o:connecttype="segments"/>
          </v:shape>
        </w:pict>
      </w:r>
      <w:r w:rsidR="00AA559C" w:rsidRPr="00990D2B">
        <w:t>, (3)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ind w:firstLine="540"/>
        <w:jc w:val="both"/>
      </w:pPr>
      <w:r w:rsidRPr="00990D2B">
        <w:t xml:space="preserve">где </w:t>
      </w:r>
      <w:proofErr w:type="spellStart"/>
      <w:r w:rsidR="006A233B">
        <w:rPr>
          <w:lang w:val="en-US"/>
        </w:rPr>
        <w:t>V</w:t>
      </w:r>
      <w:r w:rsidR="006A233B" w:rsidRPr="006A233B">
        <w:rPr>
          <w:vertAlign w:val="subscript"/>
          <w:lang w:val="en-US"/>
        </w:rPr>
        <w:t>p</w:t>
      </w:r>
      <w:proofErr w:type="spellEnd"/>
      <w:r w:rsidRPr="00990D2B">
        <w:t xml:space="preserve"> - объем огневой камеры, м3;</w:t>
      </w:r>
    </w:p>
    <w:p w:rsidR="00AA559C" w:rsidRPr="00990D2B" w:rsidRDefault="009E78B1">
      <w:pPr>
        <w:pStyle w:val="ConsPlusNormal"/>
        <w:spacing w:before="220"/>
        <w:ind w:firstLine="540"/>
        <w:jc w:val="both"/>
      </w:pPr>
      <w:r w:rsidRPr="00990D2B">
        <w:rPr>
          <w:position w:val="-3"/>
        </w:rPr>
        <w:pict>
          <v:shape id="_x0000_i1032" style="width:12.75pt;height:14.25pt" coordsize="" o:spt="100" adj="0,,0" path="" filled="f" stroked="f">
            <v:stroke joinstyle="miter"/>
            <v:imagedata r:id="rId13" o:title="base_44_11641_32784"/>
            <v:formulas/>
            <v:path o:connecttype="segments"/>
          </v:shape>
        </w:pict>
      </w:r>
      <w:r w:rsidR="00AA559C" w:rsidRPr="00990D2B">
        <w:t>- плотность паровой (или газовой) фазы при 20 °C ГОТВ, кг/м3;</w:t>
      </w:r>
    </w:p>
    <w:p w:rsidR="00AA559C" w:rsidRPr="00990D2B" w:rsidRDefault="009E78B1">
      <w:pPr>
        <w:pStyle w:val="ConsPlusNormal"/>
        <w:spacing w:before="220"/>
        <w:ind w:firstLine="540"/>
        <w:jc w:val="both"/>
      </w:pPr>
      <w:r w:rsidRPr="00990D2B">
        <w:rPr>
          <w:position w:val="-8"/>
        </w:rPr>
        <w:pict>
          <v:shape id="_x0000_i1033" style="width:26.25pt;height:20.25pt" coordsize="" o:spt="100" adj="0,,0" path="" filled="f" stroked="f">
            <v:stroke joinstyle="miter"/>
            <v:imagedata r:id="rId14" o:title="base_44_11641_32785"/>
            <v:formulas/>
            <v:path o:connecttype="segments"/>
          </v:shape>
        </w:pict>
      </w:r>
      <w:r w:rsidR="00AA559C" w:rsidRPr="00990D2B">
        <w:t xml:space="preserve">- </w:t>
      </w:r>
      <w:proofErr w:type="gramStart"/>
      <w:r w:rsidR="00AA559C" w:rsidRPr="00990D2B">
        <w:t>минимальная объемная</w:t>
      </w:r>
      <w:proofErr w:type="gramEnd"/>
      <w:r w:rsidR="00AA559C" w:rsidRPr="00990D2B">
        <w:t xml:space="preserve"> огнетушащая концентрация, заявленная изготовителем, % об.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6.3.2.2. Подготавливают баллон с испытуемым ГОТВ и подключают его к трубопроводу подачи ГОТВ в камеру.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proofErr w:type="gramStart"/>
      <w:r w:rsidRPr="00990D2B">
        <w:t xml:space="preserve">Проходные сечения трубопровода и </w:t>
      </w:r>
      <w:proofErr w:type="spellStart"/>
      <w:r w:rsidRPr="00990D2B">
        <w:t>насадков</w:t>
      </w:r>
      <w:proofErr w:type="spellEnd"/>
      <w:r w:rsidRPr="00990D2B">
        <w:t xml:space="preserve"> должны быть выбраны так, чтобы время выпуска испытываемого ГОТВ составляло от 8 с до 10 с для ГОТВ - сжиженных газов и от 50 с до 60 с для ГОТВ - сжатых газов.</w:t>
      </w:r>
      <w:proofErr w:type="gramEnd"/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При необходимости регулировки расхода ГОТВ на трубопроводе устанавливают вентиль. Фиксируют положение вентиля, которое обеспечивает необходимый расход, и не изменяют его до окончания испытаний. Подачу ГОТВ в трубопровод и ее прекращение в процессе испытаний производят с помощью запорной арматуры.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Допускается осуществлять подачу ГОТВ из модуля газового пожаротушения. При этом параметры заправки должны соответствовать технической документации (ТД) на модуль для данного ГОТВ, вместимость модуля должна обеспечивать максимальный коэффициент заполнения ГОТВ, а давление наддува соответствовать минимальному значению.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6.3.2.3. Баллоны с ГОТВ следует выдержать при (20 </w:t>
      </w:r>
      <w:r w:rsidR="00990D2B" w:rsidRPr="00990D2B">
        <w:t>±</w:t>
      </w:r>
      <w:r w:rsidRPr="00990D2B">
        <w:t xml:space="preserve"> 5) °C в течение 16 ч перед проведением испытания.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bookmarkStart w:id="6" w:name="P195"/>
      <w:bookmarkEnd w:id="6"/>
      <w:r w:rsidRPr="00990D2B">
        <w:t>6.3.3. Проведение испытания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Условия проведения испытания: температура окружающей среды от 15 °C до 25 °C, давление от 84 кПа до 106,7 кПа, относительная влажность воздуха от 40% </w:t>
      </w:r>
      <w:proofErr w:type="gramStart"/>
      <w:r w:rsidRPr="00990D2B">
        <w:t>до</w:t>
      </w:r>
      <w:proofErr w:type="gramEnd"/>
      <w:r w:rsidRPr="00990D2B">
        <w:t xml:space="preserve"> 80%.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Две горелки размещают в углах огневой камеры относительно пола на уровне 10% и по одной горелке на уровнях 50% и 90% от высоты камеры так, чтобы струи ГОТВ из </w:t>
      </w:r>
      <w:proofErr w:type="spellStart"/>
      <w:r w:rsidRPr="00990D2B">
        <w:t>насадков</w:t>
      </w:r>
      <w:proofErr w:type="spellEnd"/>
      <w:r w:rsidRPr="00990D2B">
        <w:t xml:space="preserve"> не оказывали на них прямого воздействия. Каждая горелка должна быть размещена на расстоянии (50 </w:t>
      </w:r>
      <w:r w:rsidR="00990D2B" w:rsidRPr="00990D2B">
        <w:t>±</w:t>
      </w:r>
      <w:r w:rsidRPr="00990D2B">
        <w:t xml:space="preserve"> 5) мм от стены камеры.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Заливают в горелки горючую жидкость так, чтобы ее уровень был на (50 </w:t>
      </w:r>
      <w:r w:rsidR="00990D2B" w:rsidRPr="00990D2B">
        <w:t>±</w:t>
      </w:r>
      <w:r w:rsidRPr="00990D2B">
        <w:t xml:space="preserve"> 3) мм ниже верхнего среза горелки. Поджигают горючее и дают выдержку (30 </w:t>
      </w:r>
      <w:r w:rsidR="00990D2B" w:rsidRPr="00990D2B">
        <w:t>±</w:t>
      </w:r>
      <w:r w:rsidRPr="00990D2B">
        <w:t xml:space="preserve"> 3) с, обеспечивая доступ воздуха в камеру.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По истечении времени свободного горения прекращают доступ воздуха, герметизируют камеру до степени, указанной в условиях проведения испытаний, и начинают подачу испытываемого ГОТВ.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Регистрируют факт тушения визуально или с помощью доступных технических средств (термопары и т.п.). Фиксируют время подачи ГОТВ и время тушения горелок.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Определяют количество израсходованного на тушение ГОТВ, например, по уменьшению его массы.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Проводят еще два определения.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lastRenderedPageBreak/>
        <w:t>6.3.4. Оценка результатов определений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Результат каждого определения считают положительным, если пламя во всех горелках гаснет в течение 60 с после окончания подачи ГОТВ. Повторные загорания не должны возникать в течение 10 мин.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Результат испытаний считают положительным, если в двух определениях из трех определений получены положительные результаты.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>При положительном результате в первых двух определениях третье определение не проводят.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jc w:val="center"/>
        <w:outlineLvl w:val="1"/>
        <w:rPr>
          <w:b/>
        </w:rPr>
      </w:pPr>
      <w:r w:rsidRPr="00990D2B">
        <w:rPr>
          <w:b/>
        </w:rPr>
        <w:t>7. Оформление результатов испытаний</w:t>
      </w:r>
    </w:p>
    <w:p w:rsidR="00AA559C" w:rsidRPr="00990D2B" w:rsidRDefault="00AA559C">
      <w:pPr>
        <w:pStyle w:val="ConsPlusNormal"/>
        <w:ind w:firstLine="540"/>
        <w:jc w:val="both"/>
      </w:pPr>
    </w:p>
    <w:p w:rsidR="00AA559C" w:rsidRPr="00990D2B" w:rsidRDefault="00AA559C">
      <w:pPr>
        <w:pStyle w:val="ConsPlusNormal"/>
        <w:ind w:firstLine="540"/>
        <w:jc w:val="both"/>
      </w:pPr>
      <w:r w:rsidRPr="00990D2B">
        <w:t>7.1. Результаты испытаний на соответствие требованиям настоящего стандарта оформляются в виде протоколов.</w:t>
      </w:r>
    </w:p>
    <w:p w:rsidR="00AA559C" w:rsidRPr="00990D2B" w:rsidRDefault="00AA559C">
      <w:pPr>
        <w:pStyle w:val="ConsPlusNormal"/>
        <w:spacing w:before="220"/>
        <w:ind w:firstLine="540"/>
        <w:jc w:val="both"/>
      </w:pPr>
      <w:r w:rsidRPr="00990D2B">
        <w:t xml:space="preserve">7.2. </w:t>
      </w:r>
      <w:proofErr w:type="gramStart"/>
      <w:r w:rsidRPr="00990D2B">
        <w:t>Протоколы испытаний должны содержать сведения о ГОТВ, дате его изготовления и изготовителе, дате и месте проведения испытаний, методе испытаний, а также результаты испытаний.</w:t>
      </w:r>
      <w:proofErr w:type="gramEnd"/>
    </w:p>
    <w:p w:rsidR="00990D2B" w:rsidRPr="00990D2B" w:rsidRDefault="00990D2B">
      <w:pPr>
        <w:rPr>
          <w:rFonts w:ascii="Calibri" w:eastAsia="Times New Roman" w:hAnsi="Calibri" w:cs="Calibri"/>
          <w:b/>
          <w:szCs w:val="20"/>
          <w:lang w:eastAsia="ru-RU"/>
        </w:rPr>
      </w:pPr>
      <w:r w:rsidRPr="00990D2B">
        <w:rPr>
          <w:b/>
        </w:rPr>
        <w:br w:type="page"/>
      </w:r>
    </w:p>
    <w:p w:rsidR="00AA559C" w:rsidRPr="00990D2B" w:rsidRDefault="00AA559C">
      <w:pPr>
        <w:pStyle w:val="ConsPlusNormal"/>
        <w:jc w:val="center"/>
        <w:outlineLvl w:val="0"/>
        <w:rPr>
          <w:b/>
        </w:rPr>
      </w:pPr>
      <w:r w:rsidRPr="00990D2B">
        <w:rPr>
          <w:b/>
        </w:rPr>
        <w:lastRenderedPageBreak/>
        <w:t>БИБЛИОГРАФИЯ</w:t>
      </w:r>
    </w:p>
    <w:p w:rsidR="00AA559C" w:rsidRPr="00990D2B" w:rsidRDefault="00AA559C">
      <w:pPr>
        <w:pStyle w:val="ConsPlusNormal"/>
        <w:ind w:firstLine="540"/>
        <w:jc w:val="both"/>
      </w:pPr>
    </w:p>
    <w:p w:rsidR="006A1888" w:rsidRPr="00990D2B" w:rsidRDefault="00AA559C" w:rsidP="00AA559C">
      <w:pPr>
        <w:pStyle w:val="ConsPlusNormal"/>
        <w:ind w:firstLine="540"/>
        <w:jc w:val="both"/>
      </w:pPr>
      <w:bookmarkStart w:id="7" w:name="P219"/>
      <w:bookmarkEnd w:id="7"/>
      <w:r w:rsidRPr="00990D2B">
        <w:t>[1] РД 50-690-89. Надежность в технике. Методы оценки показателей надежности по экспериментальным данным. Методические указания.</w:t>
      </w:r>
    </w:p>
    <w:sectPr w:rsidR="006A1888" w:rsidRPr="00990D2B" w:rsidSect="00391A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59C"/>
    <w:rsid w:val="000F4B56"/>
    <w:rsid w:val="006A1888"/>
    <w:rsid w:val="006A233B"/>
    <w:rsid w:val="00990D2B"/>
    <w:rsid w:val="009E78B1"/>
    <w:rsid w:val="00AA559C"/>
    <w:rsid w:val="00EA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55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55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A55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A1E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A55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A559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A55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A1E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8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image" Target="media/image7.wm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wmf"/><Relationship Id="rId5" Type="http://schemas.openxmlformats.org/officeDocument/2006/relationships/hyperlink" Target="https://fireman.club/presentations/osnovnye-svedeniya-ob-ustanovkax-avtomaticheskogo-pozharotusheniya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2629</Words>
  <Characters>14986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2018-02-12T09:11:00Z</dcterms:created>
  <dcterms:modified xsi:type="dcterms:W3CDTF">2018-02-13T12:19:00Z</dcterms:modified>
</cp:coreProperties>
</file>