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F2" w:rsidRPr="00962014" w:rsidRDefault="007A34F2" w:rsidP="00962014">
      <w:pPr>
        <w:pStyle w:val="ConsPlusNormal"/>
        <w:jc w:val="right"/>
        <w:outlineLvl w:val="0"/>
      </w:pPr>
      <w:r w:rsidRPr="00962014">
        <w:t>Утвержден и введен в действие</w:t>
      </w:r>
      <w:r w:rsidR="00962014">
        <w:br/>
      </w:r>
      <w:r w:rsidRPr="00962014">
        <w:t>Постановлением Госстроя СССР</w:t>
      </w:r>
      <w:r w:rsidR="00962014">
        <w:br/>
      </w:r>
      <w:r w:rsidRPr="00962014">
        <w:t>от 9 августа 1976 г</w:t>
      </w:r>
      <w:r w:rsidR="00962014">
        <w:t>ода</w:t>
      </w:r>
      <w:r w:rsidRPr="00962014">
        <w:t xml:space="preserve"> </w:t>
      </w:r>
      <w:r w:rsidR="00962014">
        <w:t>№</w:t>
      </w:r>
      <w:r w:rsidRPr="00962014">
        <w:t xml:space="preserve"> 130</w:t>
      </w:r>
    </w:p>
    <w:p w:rsidR="007A34F2" w:rsidRPr="00962014" w:rsidRDefault="007A34F2">
      <w:pPr>
        <w:pStyle w:val="ConsPlusNormal"/>
        <w:jc w:val="center"/>
      </w:pPr>
    </w:p>
    <w:p w:rsidR="007A34F2" w:rsidRPr="00962014" w:rsidRDefault="007A34F2">
      <w:pPr>
        <w:pStyle w:val="ConsPlusTitle"/>
        <w:jc w:val="center"/>
      </w:pPr>
      <w:r w:rsidRPr="00962014">
        <w:t>ГОСУДАРСТВЕННЫЙ СТАНДАРТ СОЮЗА ССР</w:t>
      </w:r>
    </w:p>
    <w:p w:rsidR="007A34F2" w:rsidRPr="00962014" w:rsidRDefault="007A34F2">
      <w:pPr>
        <w:pStyle w:val="ConsPlusTitle"/>
        <w:jc w:val="center"/>
      </w:pPr>
    </w:p>
    <w:p w:rsidR="007A34F2" w:rsidRPr="00962014" w:rsidRDefault="007A34F2">
      <w:pPr>
        <w:pStyle w:val="ConsPlusTitle"/>
        <w:jc w:val="center"/>
      </w:pPr>
      <w:r w:rsidRPr="00962014">
        <w:t>КУПОЛА ИЗ ОРГАНИЧЕСКОГО СТЕКЛА ДВУХСЛОЙНЫЕ</w:t>
      </w:r>
    </w:p>
    <w:p w:rsidR="007A34F2" w:rsidRPr="00962014" w:rsidRDefault="007A34F2">
      <w:pPr>
        <w:pStyle w:val="ConsPlusTitle"/>
        <w:jc w:val="center"/>
      </w:pPr>
    </w:p>
    <w:p w:rsidR="007A34F2" w:rsidRPr="00962014" w:rsidRDefault="007A34F2">
      <w:pPr>
        <w:pStyle w:val="ConsPlusTitle"/>
        <w:jc w:val="center"/>
      </w:pPr>
      <w:r w:rsidRPr="00962014">
        <w:t>ТЕХНИЧЕСКИЕ УСЛОВИЯ</w:t>
      </w:r>
    </w:p>
    <w:p w:rsidR="007A34F2" w:rsidRPr="00962014" w:rsidRDefault="007A34F2">
      <w:pPr>
        <w:pStyle w:val="ConsPlusTitle"/>
        <w:jc w:val="center"/>
      </w:pPr>
    </w:p>
    <w:p w:rsidR="007A34F2" w:rsidRPr="00962014" w:rsidRDefault="007A34F2">
      <w:pPr>
        <w:pStyle w:val="ConsPlusTitle"/>
        <w:jc w:val="center"/>
      </w:pPr>
      <w:proofErr w:type="spellStart"/>
      <w:r w:rsidRPr="00962014">
        <w:t>Two</w:t>
      </w:r>
      <w:proofErr w:type="spellEnd"/>
      <w:r w:rsidRPr="00962014">
        <w:t xml:space="preserve"> </w:t>
      </w:r>
      <w:proofErr w:type="spellStart"/>
      <w:r w:rsidRPr="00962014">
        <w:t>layer</w:t>
      </w:r>
      <w:proofErr w:type="spellEnd"/>
      <w:r w:rsidRPr="00962014">
        <w:t xml:space="preserve"> </w:t>
      </w:r>
      <w:proofErr w:type="spellStart"/>
      <w:r w:rsidRPr="00962014">
        <w:t>domes</w:t>
      </w:r>
      <w:proofErr w:type="spellEnd"/>
      <w:r w:rsidRPr="00962014">
        <w:t xml:space="preserve"> </w:t>
      </w:r>
      <w:proofErr w:type="spellStart"/>
      <w:r w:rsidRPr="00962014">
        <w:t>of</w:t>
      </w:r>
      <w:proofErr w:type="spellEnd"/>
      <w:r w:rsidRPr="00962014">
        <w:t xml:space="preserve"> </w:t>
      </w:r>
      <w:proofErr w:type="spellStart"/>
      <w:r w:rsidRPr="00962014">
        <w:t>organic</w:t>
      </w:r>
      <w:proofErr w:type="spellEnd"/>
      <w:r w:rsidRPr="00962014">
        <w:t xml:space="preserve"> </w:t>
      </w:r>
      <w:proofErr w:type="spellStart"/>
      <w:r w:rsidRPr="00962014">
        <w:t>plastic</w:t>
      </w:r>
      <w:proofErr w:type="spellEnd"/>
      <w:r w:rsidRPr="00962014">
        <w:t>.</w:t>
      </w:r>
    </w:p>
    <w:p w:rsidR="007A34F2" w:rsidRPr="00962014" w:rsidRDefault="007A34F2">
      <w:pPr>
        <w:pStyle w:val="ConsPlusTitle"/>
        <w:jc w:val="center"/>
      </w:pPr>
      <w:proofErr w:type="spellStart"/>
      <w:r w:rsidRPr="00962014">
        <w:t>Technical</w:t>
      </w:r>
      <w:proofErr w:type="spellEnd"/>
      <w:r w:rsidRPr="00962014">
        <w:t xml:space="preserve"> </w:t>
      </w:r>
      <w:proofErr w:type="spellStart"/>
      <w:r w:rsidRPr="00962014">
        <w:t>requirements</w:t>
      </w:r>
      <w:proofErr w:type="spellEnd"/>
    </w:p>
    <w:p w:rsidR="007A34F2" w:rsidRPr="00962014" w:rsidRDefault="007A34F2">
      <w:pPr>
        <w:pStyle w:val="ConsPlusTitle"/>
        <w:jc w:val="center"/>
      </w:pPr>
    </w:p>
    <w:p w:rsidR="007A34F2" w:rsidRPr="00962014" w:rsidRDefault="007A34F2">
      <w:pPr>
        <w:pStyle w:val="ConsPlusTitle"/>
        <w:jc w:val="center"/>
      </w:pPr>
      <w:r w:rsidRPr="00962014">
        <w:t>ГОСТ 22160-76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right"/>
      </w:pPr>
      <w:r w:rsidRPr="00962014">
        <w:t>Группа Ж35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right"/>
      </w:pPr>
      <w:r w:rsidRPr="00962014">
        <w:t>Срок введения</w:t>
      </w:r>
    </w:p>
    <w:p w:rsidR="007A34F2" w:rsidRPr="00962014" w:rsidRDefault="007A34F2">
      <w:pPr>
        <w:pStyle w:val="ConsPlusNormal"/>
        <w:jc w:val="right"/>
      </w:pPr>
      <w:r w:rsidRPr="00962014">
        <w:t>с 1 января 1978 года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Разработан Центральным научно-исследовательским и проектно-экспериментальным институтом промышленных зданий и сооружений (</w:t>
      </w:r>
      <w:proofErr w:type="spellStart"/>
      <w:r w:rsidRPr="00962014">
        <w:t>ЦНИИпромзданий</w:t>
      </w:r>
      <w:proofErr w:type="spellEnd"/>
      <w:r w:rsidRPr="00962014">
        <w:t>) Госстроя СССР.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Директор Ю.Н. Хромец; руководитель темы Ю.П. Александров; исполнитель Ф.Л. Шехтер.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Подготовлен к утверждению Отделом технического нормирования и стандартизации Госстроя СССР.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Начальник отдела В.И. Сычев; начальник подотдела стандартизации в строительстве М.М. Новиков; ст. инженер Л.В. </w:t>
      </w:r>
      <w:proofErr w:type="spellStart"/>
      <w:r w:rsidRPr="00962014">
        <w:t>Дробинина</w:t>
      </w:r>
      <w:proofErr w:type="spellEnd"/>
      <w:r w:rsidRPr="00962014">
        <w:t>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Настоящий стандарт распространяется на двухслойные купола из органического стекла, изготовляемые способом пневматического формования их оболочек и сваркой оболочек по контуру купола.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Купола предназначаются для заполн</w:t>
      </w:r>
      <w:bookmarkStart w:id="0" w:name="_GoBack"/>
      <w:bookmarkEnd w:id="0"/>
      <w:r w:rsidRPr="00962014">
        <w:t xml:space="preserve">ения световых </w:t>
      </w:r>
      <w:r w:rsidRPr="003938BF">
        <w:t xml:space="preserve">проемов </w:t>
      </w:r>
      <w:hyperlink r:id="rId6" w:history="1">
        <w:r w:rsidRPr="003938BF">
          <w:rPr>
            <w:rStyle w:val="a4"/>
            <w:color w:val="auto"/>
            <w:u w:val="none"/>
          </w:rPr>
          <w:t>зенитных фонарей</w:t>
        </w:r>
      </w:hyperlink>
      <w:r w:rsidRPr="003938BF">
        <w:t xml:space="preserve">, </w:t>
      </w:r>
      <w:r w:rsidRPr="00962014">
        <w:t>применяемых для устройства естественного освещения в промышленных зданиях.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t>1. ТИПЫ И РАЗМЕРЫ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1.1. Купола могут изготавливаться двух типов: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1 - купола с шайбами по контуру и защитными колпачками, устанавливаемые на деревянные опорные элементы;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2 - купола без шайб, устанавливаемые на деревянные или металлические опорные элементы.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bookmarkStart w:id="1" w:name="P34"/>
      <w:bookmarkEnd w:id="1"/>
      <w:r w:rsidRPr="00962014">
        <w:t xml:space="preserve">1.2. Форма, размеры куполов и их элементов, колпачков, расположение шайб должны соответствовать </w:t>
      </w:r>
      <w:proofErr w:type="gramStart"/>
      <w:r w:rsidRPr="00962014">
        <w:t>указанным</w:t>
      </w:r>
      <w:proofErr w:type="gramEnd"/>
      <w:r w:rsidRPr="00962014">
        <w:t xml:space="preserve"> на черт. 1-2 и в таблице.</w:t>
      </w:r>
    </w:p>
    <w:p w:rsidR="007A34F2" w:rsidRPr="00962014" w:rsidRDefault="007A34F2">
      <w:pPr>
        <w:pStyle w:val="ConsPlusNormal"/>
      </w:pPr>
    </w:p>
    <w:p w:rsidR="00962014" w:rsidRDefault="00962014">
      <w:pPr>
        <w:pStyle w:val="ConsPlusNormal"/>
        <w:jc w:val="center"/>
      </w:pPr>
    </w:p>
    <w:p w:rsidR="00962014" w:rsidRDefault="00962014">
      <w:pPr>
        <w:pStyle w:val="ConsPlusNormal"/>
        <w:jc w:val="center"/>
      </w:pPr>
    </w:p>
    <w:p w:rsidR="00962014" w:rsidRDefault="00962014">
      <w:pPr>
        <w:pStyle w:val="ConsPlusNormal"/>
        <w:jc w:val="center"/>
      </w:pPr>
    </w:p>
    <w:p w:rsidR="00962014" w:rsidRDefault="00962014">
      <w:pPr>
        <w:pStyle w:val="ConsPlusNormal"/>
        <w:jc w:val="center"/>
      </w:pPr>
    </w:p>
    <w:p w:rsidR="007A34F2" w:rsidRPr="00962014" w:rsidRDefault="007A34F2">
      <w:pPr>
        <w:pStyle w:val="ConsPlusNormal"/>
        <w:jc w:val="center"/>
      </w:pPr>
      <w:r w:rsidRPr="00962014">
        <w:lastRenderedPageBreak/>
        <w:t>Купол типа 1</w:t>
      </w:r>
    </w:p>
    <w:p w:rsidR="007A34F2" w:rsidRPr="00962014" w:rsidRDefault="00962014">
      <w:pPr>
        <w:pStyle w:val="ConsPlusNormal"/>
        <w:jc w:val="center"/>
      </w:pPr>
      <w:r w:rsidRPr="00962014">
        <w:rPr>
          <w:position w:val="-692"/>
        </w:rPr>
        <w:pict>
          <v:shape id="_x0000_i1025" style="width:464.25pt;height:701.2pt" coordsize="" o:spt="100" adj="0,,0" path="" filled="f" stroked="f">
            <v:stroke joinstyle="miter"/>
            <v:imagedata r:id="rId7" o:title="base_44_817_32768"/>
            <v:formulas/>
            <v:path o:connecttype="segments"/>
          </v:shape>
        </w:pict>
      </w:r>
    </w:p>
    <w:p w:rsidR="007A34F2" w:rsidRPr="00962014" w:rsidRDefault="007A34F2">
      <w:pPr>
        <w:pStyle w:val="ConsPlusNormal"/>
        <w:jc w:val="center"/>
      </w:pPr>
      <w:r w:rsidRPr="00962014">
        <w:t>Черт. 1</w:t>
      </w:r>
    </w:p>
    <w:p w:rsidR="007A34F2" w:rsidRPr="00962014" w:rsidRDefault="007A34F2">
      <w:pPr>
        <w:pStyle w:val="ConsPlusNormal"/>
        <w:jc w:val="center"/>
      </w:pPr>
      <w:r w:rsidRPr="00962014">
        <w:lastRenderedPageBreak/>
        <w:t>Купол типа 2</w:t>
      </w:r>
    </w:p>
    <w:p w:rsidR="007A34F2" w:rsidRPr="00962014" w:rsidRDefault="007A34F2">
      <w:pPr>
        <w:pStyle w:val="ConsPlusNormal"/>
      </w:pPr>
    </w:p>
    <w:p w:rsidR="007A34F2" w:rsidRPr="00962014" w:rsidRDefault="00962014">
      <w:pPr>
        <w:pStyle w:val="ConsPlusNormal"/>
        <w:jc w:val="center"/>
      </w:pPr>
      <w:r w:rsidRPr="00962014">
        <w:rPr>
          <w:position w:val="-531"/>
        </w:rPr>
        <w:pict>
          <v:shape id="_x0000_i1026" style="width:467.45pt;height:542.7pt" coordsize="" o:spt="100" adj="0,,0" path="" filled="f" stroked="f">
            <v:stroke joinstyle="miter"/>
            <v:imagedata r:id="rId8" o:title="base_44_817_32769"/>
            <v:formulas/>
            <v:path o:connecttype="segments"/>
          </v:shape>
        </w:pic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bookmarkStart w:id="2" w:name="P46"/>
      <w:bookmarkEnd w:id="2"/>
      <w:r w:rsidRPr="00962014">
        <w:t>Черт. 2</w:t>
      </w:r>
    </w:p>
    <w:p w:rsidR="00962014" w:rsidRDefault="0096201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A34F2" w:rsidRDefault="00382EB1" w:rsidP="00382EB1">
      <w:pPr>
        <w:pStyle w:val="ConsPlusNormal"/>
        <w:jc w:val="right"/>
      </w:pPr>
      <w:r w:rsidRPr="00382EB1">
        <w:lastRenderedPageBreak/>
        <w:t xml:space="preserve">Размеры в </w:t>
      </w:r>
      <w:proofErr w:type="gramStart"/>
      <w:r w:rsidRPr="00382EB1">
        <w:t>мм</w:t>
      </w:r>
      <w:proofErr w:type="gramEnd"/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701"/>
        <w:gridCol w:w="705"/>
        <w:gridCol w:w="681"/>
        <w:gridCol w:w="705"/>
        <w:gridCol w:w="756"/>
        <w:gridCol w:w="820"/>
        <w:gridCol w:w="786"/>
        <w:gridCol w:w="814"/>
        <w:gridCol w:w="716"/>
        <w:gridCol w:w="582"/>
        <w:gridCol w:w="702"/>
        <w:gridCol w:w="849"/>
      </w:tblGrid>
      <w:tr w:rsidR="00382EB1" w:rsidRPr="00382EB1" w:rsidTr="00382EB1">
        <w:tc>
          <w:tcPr>
            <w:tcW w:w="611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Длина, l</w:t>
            </w:r>
          </w:p>
        </w:tc>
        <w:tc>
          <w:tcPr>
            <w:tcW w:w="713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Ширина, b</w:t>
            </w:r>
          </w:p>
        </w:tc>
        <w:tc>
          <w:tcPr>
            <w:tcW w:w="1409" w:type="dxa"/>
            <w:gridSpan w:val="2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Высота оболочки</w:t>
            </w:r>
          </w:p>
        </w:tc>
        <w:tc>
          <w:tcPr>
            <w:tcW w:w="1503" w:type="dxa"/>
            <w:gridSpan w:val="2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Толщина оболочки</w:t>
            </w:r>
          </w:p>
        </w:tc>
        <w:tc>
          <w:tcPr>
            <w:tcW w:w="827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Ширина опорной площадки, b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1</w:t>
            </w:r>
          </w:p>
        </w:tc>
        <w:tc>
          <w:tcPr>
            <w:tcW w:w="794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Угол наклона опорной площадки альфа, град.</w:t>
            </w:r>
          </w:p>
        </w:tc>
        <w:tc>
          <w:tcPr>
            <w:tcW w:w="821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 xml:space="preserve">Диаметр отверстий </w:t>
            </w:r>
            <w:proofErr w:type="gramStart"/>
            <w:r w:rsidRPr="00382EB1">
              <w:rPr>
                <w:rFonts w:asciiTheme="minorHAnsi" w:hAnsiTheme="minorHAnsi"/>
                <w:sz w:val="16"/>
                <w:szCs w:val="18"/>
              </w:rPr>
              <w:t>в</w:t>
            </w:r>
            <w:proofErr w:type="gramEnd"/>
            <w:r w:rsidRPr="00382EB1">
              <w:rPr>
                <w:rFonts w:asciiTheme="minorHAnsi" w:hAnsiTheme="minorHAnsi"/>
                <w:sz w:val="16"/>
                <w:szCs w:val="18"/>
              </w:rPr>
              <w:t xml:space="preserve"> </w:t>
            </w:r>
            <w:proofErr w:type="gramStart"/>
            <w:r w:rsidRPr="00382EB1">
              <w:rPr>
                <w:rFonts w:asciiTheme="minorHAnsi" w:hAnsiTheme="minorHAnsi"/>
                <w:sz w:val="16"/>
                <w:szCs w:val="18"/>
              </w:rPr>
              <w:t>опорой</w:t>
            </w:r>
            <w:proofErr w:type="gramEnd"/>
            <w:r w:rsidRPr="00382EB1">
              <w:rPr>
                <w:rFonts w:asciiTheme="minorHAnsi" w:hAnsiTheme="minorHAnsi"/>
                <w:sz w:val="16"/>
                <w:szCs w:val="18"/>
              </w:rPr>
              <w:t xml:space="preserve"> площадке, d</w:t>
            </w:r>
          </w:p>
        </w:tc>
        <w:tc>
          <w:tcPr>
            <w:tcW w:w="727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Ширина сварного шва, b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2</w:t>
            </w:r>
          </w:p>
        </w:tc>
        <w:tc>
          <w:tcPr>
            <w:tcW w:w="1311" w:type="dxa"/>
            <w:gridSpan w:val="2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Размеры фильтрующего клапана купола</w:t>
            </w:r>
          </w:p>
        </w:tc>
        <w:tc>
          <w:tcPr>
            <w:tcW w:w="855" w:type="dxa"/>
            <w:vMerge w:val="restart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Расстояние между осями шайб, t</w:t>
            </w:r>
          </w:p>
        </w:tc>
      </w:tr>
      <w:tr w:rsidR="00382EB1" w:rsidRPr="00382EB1" w:rsidTr="00382EB1">
        <w:tc>
          <w:tcPr>
            <w:tcW w:w="611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713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верхней, h</w:t>
            </w:r>
          </w:p>
        </w:tc>
        <w:tc>
          <w:tcPr>
            <w:tcW w:w="69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нижней, h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1</w:t>
            </w: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верхней, s</w:t>
            </w:r>
          </w:p>
        </w:tc>
        <w:tc>
          <w:tcPr>
            <w:tcW w:w="78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нижней,</w:t>
            </w:r>
            <w:r>
              <w:rPr>
                <w:rFonts w:asciiTheme="minorHAnsi" w:hAnsiTheme="minorHAnsi"/>
                <w:sz w:val="16"/>
                <w:szCs w:val="18"/>
              </w:rPr>
              <w:t xml:space="preserve"> </w:t>
            </w:r>
            <w:r w:rsidRPr="00382EB1">
              <w:rPr>
                <w:rFonts w:asciiTheme="minorHAnsi" w:hAnsiTheme="minorHAnsi"/>
                <w:sz w:val="16"/>
                <w:szCs w:val="18"/>
              </w:rPr>
              <w:t>s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1</w:t>
            </w:r>
          </w:p>
        </w:tc>
        <w:tc>
          <w:tcPr>
            <w:tcW w:w="827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794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727" w:type="dxa"/>
            <w:vMerge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длина, l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1</w:t>
            </w:r>
          </w:p>
        </w:tc>
        <w:tc>
          <w:tcPr>
            <w:tcW w:w="71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82EB1">
              <w:rPr>
                <w:rFonts w:asciiTheme="minorHAnsi" w:hAnsiTheme="minorHAnsi"/>
                <w:sz w:val="16"/>
                <w:szCs w:val="18"/>
              </w:rPr>
              <w:t>Ширина, b</w:t>
            </w:r>
            <w:r w:rsidRPr="00382EB1">
              <w:rPr>
                <w:rFonts w:asciiTheme="minorHAnsi" w:hAnsiTheme="minorHAnsi"/>
                <w:sz w:val="16"/>
                <w:szCs w:val="18"/>
                <w:vertAlign w:val="subscript"/>
              </w:rPr>
              <w:t>3</w:t>
            </w:r>
          </w:p>
        </w:tc>
        <w:tc>
          <w:tcPr>
            <w:tcW w:w="855" w:type="dxa"/>
            <w:vMerge/>
          </w:tcPr>
          <w:p w:rsidR="00382EB1" w:rsidRPr="00382EB1" w:rsidRDefault="00382EB1" w:rsidP="003821F8">
            <w:pPr>
              <w:pStyle w:val="ConsPlusNormal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82EB1" w:rsidRPr="00382EB1" w:rsidTr="00382EB1">
        <w:tc>
          <w:tcPr>
            <w:tcW w:w="611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1600</w:t>
            </w:r>
          </w:p>
        </w:tc>
        <w:tc>
          <w:tcPr>
            <w:tcW w:w="71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1400</w:t>
            </w: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340</w:t>
            </w:r>
          </w:p>
        </w:tc>
        <w:tc>
          <w:tcPr>
            <w:tcW w:w="69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300</w:t>
            </w: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4; 5</w:t>
            </w:r>
          </w:p>
        </w:tc>
        <w:tc>
          <w:tcPr>
            <w:tcW w:w="78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3; 4</w:t>
            </w:r>
          </w:p>
        </w:tc>
        <w:tc>
          <w:tcPr>
            <w:tcW w:w="82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50</w:t>
            </w:r>
          </w:p>
        </w:tc>
        <w:tc>
          <w:tcPr>
            <w:tcW w:w="794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18</w:t>
            </w:r>
          </w:p>
        </w:tc>
        <w:tc>
          <w:tcPr>
            <w:tcW w:w="821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6</w:t>
            </w:r>
          </w:p>
        </w:tc>
        <w:tc>
          <w:tcPr>
            <w:tcW w:w="72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20</w:t>
            </w:r>
          </w:p>
        </w:tc>
        <w:tc>
          <w:tcPr>
            <w:tcW w:w="598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63</w:t>
            </w:r>
          </w:p>
        </w:tc>
        <w:tc>
          <w:tcPr>
            <w:tcW w:w="71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30</w:t>
            </w:r>
          </w:p>
        </w:tc>
        <w:tc>
          <w:tcPr>
            <w:tcW w:w="855" w:type="dxa"/>
          </w:tcPr>
          <w:p w:rsidR="00382EB1" w:rsidRPr="00382EB1" w:rsidRDefault="00382EB1" w:rsidP="00382EB1">
            <w:pPr>
              <w:pStyle w:val="ConsPlusNorma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</w:tr>
      <w:tr w:rsidR="00382EB1" w:rsidRPr="00382EB1" w:rsidTr="00382EB1">
        <w:tc>
          <w:tcPr>
            <w:tcW w:w="611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13</w:t>
            </w:r>
            <w:r>
              <w:rPr>
                <w:rFonts w:asciiTheme="minorHAnsi" w:hAnsiTheme="minorHAnsi"/>
                <w:sz w:val="16"/>
                <w:szCs w:val="18"/>
              </w:rPr>
              <w:t>00</w:t>
            </w:r>
          </w:p>
        </w:tc>
        <w:tc>
          <w:tcPr>
            <w:tcW w:w="713" w:type="dxa"/>
            <w:vAlign w:val="center"/>
          </w:tcPr>
          <w:p w:rsidR="00382EB1" w:rsidRPr="00382EB1" w:rsidRDefault="00382EB1" w:rsidP="00382EB1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</w:t>
            </w:r>
            <w:r>
              <w:rPr>
                <w:rFonts w:asciiTheme="minorHAnsi" w:hAnsiTheme="minorHAnsi"/>
                <w:sz w:val="16"/>
                <w:szCs w:val="18"/>
              </w:rPr>
              <w:t>3</w:t>
            </w:r>
            <w:r>
              <w:rPr>
                <w:rFonts w:asciiTheme="minorHAnsi" w:hAnsiTheme="minorHAnsi"/>
                <w:sz w:val="16"/>
                <w:szCs w:val="18"/>
              </w:rPr>
              <w:t>00</w:t>
            </w: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340</w:t>
            </w:r>
          </w:p>
        </w:tc>
        <w:tc>
          <w:tcPr>
            <w:tcW w:w="69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300</w:t>
            </w:r>
          </w:p>
        </w:tc>
        <w:tc>
          <w:tcPr>
            <w:tcW w:w="716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4; 5</w:t>
            </w:r>
          </w:p>
        </w:tc>
        <w:tc>
          <w:tcPr>
            <w:tcW w:w="78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3; 4</w:t>
            </w:r>
          </w:p>
        </w:tc>
        <w:tc>
          <w:tcPr>
            <w:tcW w:w="82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50</w:t>
            </w:r>
          </w:p>
        </w:tc>
        <w:tc>
          <w:tcPr>
            <w:tcW w:w="794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18</w:t>
            </w:r>
          </w:p>
        </w:tc>
        <w:tc>
          <w:tcPr>
            <w:tcW w:w="821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6</w:t>
            </w:r>
          </w:p>
        </w:tc>
        <w:tc>
          <w:tcPr>
            <w:tcW w:w="727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20</w:t>
            </w:r>
          </w:p>
        </w:tc>
        <w:tc>
          <w:tcPr>
            <w:tcW w:w="598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63</w:t>
            </w:r>
          </w:p>
        </w:tc>
        <w:tc>
          <w:tcPr>
            <w:tcW w:w="713" w:type="dxa"/>
            <w:vAlign w:val="center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30</w:t>
            </w:r>
          </w:p>
        </w:tc>
        <w:tc>
          <w:tcPr>
            <w:tcW w:w="855" w:type="dxa"/>
          </w:tcPr>
          <w:p w:rsidR="00382EB1" w:rsidRPr="00382EB1" w:rsidRDefault="00382EB1" w:rsidP="003821F8">
            <w:pPr>
              <w:pStyle w:val="ConsPlusNorma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</w:tr>
    </w:tbl>
    <w:p w:rsidR="00382EB1" w:rsidRDefault="00382EB1">
      <w:pPr>
        <w:pStyle w:val="ConsPlusNormal"/>
        <w:jc w:val="right"/>
      </w:pPr>
    </w:p>
    <w:p w:rsidR="007A34F2" w:rsidRPr="00962014" w:rsidRDefault="007A34F2">
      <w:pPr>
        <w:pStyle w:val="ConsPlusNormal"/>
        <w:jc w:val="right"/>
      </w:pPr>
      <w:r w:rsidRPr="00962014">
        <w:t>Продолжение</w:t>
      </w:r>
    </w:p>
    <w:p w:rsidR="007A34F2" w:rsidRPr="00962014" w:rsidRDefault="007A34F2">
      <w:pPr>
        <w:pStyle w:val="ConsPlusNormal"/>
      </w:pPr>
    </w:p>
    <w:p w:rsidR="00383D0A" w:rsidRDefault="00383D0A" w:rsidP="00383D0A">
      <w:pPr>
        <w:pStyle w:val="ConsPlusNormal"/>
        <w:jc w:val="right"/>
      </w:pPr>
      <w:r w:rsidRPr="00382EB1">
        <w:t xml:space="preserve">Размеры в </w:t>
      </w:r>
      <w:proofErr w:type="gramStart"/>
      <w:r w:rsidRPr="00382EB1">
        <w:t>мм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533"/>
        <w:gridCol w:w="986"/>
        <w:gridCol w:w="533"/>
        <w:gridCol w:w="532"/>
        <w:gridCol w:w="532"/>
        <w:gridCol w:w="530"/>
        <w:gridCol w:w="530"/>
        <w:gridCol w:w="530"/>
        <w:gridCol w:w="531"/>
        <w:gridCol w:w="543"/>
        <w:gridCol w:w="543"/>
        <w:gridCol w:w="543"/>
        <w:gridCol w:w="543"/>
        <w:gridCol w:w="543"/>
        <w:gridCol w:w="543"/>
        <w:gridCol w:w="543"/>
      </w:tblGrid>
      <w:tr w:rsidR="00383D0A" w:rsidRPr="00383D0A" w:rsidTr="00383D0A">
        <w:trPr>
          <w:jc w:val="center"/>
        </w:trPr>
        <w:tc>
          <w:tcPr>
            <w:tcW w:w="1066" w:type="dxa"/>
            <w:gridSpan w:val="2"/>
            <w:vMerge w:val="restart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Расстояние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от оси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крайней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шайбы до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кромки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купола</w:t>
            </w:r>
          </w:p>
        </w:tc>
        <w:tc>
          <w:tcPr>
            <w:tcW w:w="986" w:type="dxa"/>
            <w:vMerge w:val="restart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Расстояние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от оси шайбы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до кромки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купола</w:t>
            </w:r>
          </w:p>
        </w:tc>
        <w:tc>
          <w:tcPr>
            <w:tcW w:w="3718" w:type="dxa"/>
            <w:gridSpan w:val="7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Размеры шайбы</w:t>
            </w:r>
          </w:p>
        </w:tc>
        <w:tc>
          <w:tcPr>
            <w:tcW w:w="3801" w:type="dxa"/>
            <w:gridSpan w:val="7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Размеры колпачка</w:t>
            </w:r>
          </w:p>
        </w:tc>
      </w:tr>
      <w:tr w:rsidR="00383D0A" w:rsidRPr="00383D0A" w:rsidTr="00383D0A">
        <w:trPr>
          <w:jc w:val="center"/>
        </w:trPr>
        <w:tc>
          <w:tcPr>
            <w:tcW w:w="1066" w:type="dxa"/>
            <w:gridSpan w:val="2"/>
            <w:vMerge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86" w:type="dxa"/>
            <w:vMerge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в плане</w:t>
            </w:r>
          </w:p>
        </w:tc>
        <w:tc>
          <w:tcPr>
            <w:tcW w:w="1591" w:type="dxa"/>
            <w:gridSpan w:val="3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По</w:t>
            </w:r>
            <w:r w:rsidRPr="00383D0A"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высоте</w:t>
            </w:r>
          </w:p>
        </w:tc>
        <w:tc>
          <w:tcPr>
            <w:tcW w:w="2172" w:type="dxa"/>
            <w:gridSpan w:val="4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в плане</w:t>
            </w:r>
          </w:p>
        </w:tc>
        <w:tc>
          <w:tcPr>
            <w:tcW w:w="1629" w:type="dxa"/>
            <w:gridSpan w:val="3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П</w:t>
            </w:r>
            <w:r w:rsidRPr="00383D0A">
              <w:rPr>
                <w:sz w:val="16"/>
                <w:szCs w:val="16"/>
              </w:rPr>
              <w:t>о</w:t>
            </w:r>
            <w:r w:rsidRPr="00383D0A">
              <w:rPr>
                <w:sz w:val="16"/>
                <w:szCs w:val="16"/>
                <w:lang w:val="en-US"/>
              </w:rPr>
              <w:t xml:space="preserve"> </w:t>
            </w:r>
            <w:r w:rsidRPr="00383D0A">
              <w:rPr>
                <w:sz w:val="16"/>
                <w:szCs w:val="16"/>
              </w:rPr>
              <w:t>высоте</w:t>
            </w:r>
          </w:p>
        </w:tc>
      </w:tr>
      <w:tr w:rsidR="00383D0A" w:rsidRPr="00383D0A" w:rsidTr="00383D0A">
        <w:trPr>
          <w:jc w:val="center"/>
        </w:trPr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  <w:lang w:val="en-US"/>
              </w:rPr>
              <w:t>t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  <w:lang w:val="en-US"/>
              </w:rPr>
              <w:t>t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986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  <w:lang w:val="en-US"/>
              </w:rPr>
              <w:t>b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531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</w:rPr>
              <w:t>d</w:t>
            </w:r>
            <w:r w:rsidRPr="00383D0A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5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</w:rPr>
            </w:pPr>
            <w:r w:rsidRPr="00383D0A">
              <w:rPr>
                <w:sz w:val="16"/>
                <w:szCs w:val="16"/>
                <w:lang w:val="en-US"/>
              </w:rPr>
              <w:t>h</w:t>
            </w:r>
            <w:r w:rsidRPr="00383D0A">
              <w:rPr>
                <w:sz w:val="16"/>
                <w:szCs w:val="16"/>
                <w:vertAlign w:val="subscript"/>
                <w:lang w:val="en-US"/>
              </w:rPr>
              <w:t>7</w:t>
            </w:r>
          </w:p>
        </w:tc>
      </w:tr>
      <w:tr w:rsidR="00383D0A" w:rsidRPr="00383D0A" w:rsidTr="00383D0A">
        <w:trPr>
          <w:jc w:val="center"/>
        </w:trPr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986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31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3D0A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383D0A" w:rsidRPr="00383D0A" w:rsidTr="00383D0A">
        <w:trPr>
          <w:jc w:val="center"/>
        </w:trPr>
        <w:tc>
          <w:tcPr>
            <w:tcW w:w="53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86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3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32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30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31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383D0A" w:rsidRPr="00383D0A" w:rsidRDefault="00383D0A" w:rsidP="003821F8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</w:tbl>
    <w:p w:rsidR="00383D0A" w:rsidRDefault="00383D0A" w:rsidP="00383D0A">
      <w:pPr>
        <w:pStyle w:val="ConsPlusNormal"/>
      </w:pPr>
    </w:p>
    <w:p w:rsidR="007A34F2" w:rsidRPr="00383D0A" w:rsidRDefault="007A34F2">
      <w:pPr>
        <w:pStyle w:val="ConsPlusNormal"/>
        <w:ind w:firstLine="540"/>
        <w:jc w:val="both"/>
        <w:rPr>
          <w:i/>
        </w:rPr>
      </w:pPr>
      <w:r w:rsidRPr="00383D0A">
        <w:rPr>
          <w:b/>
          <w:i/>
        </w:rPr>
        <w:t>Примечание.</w:t>
      </w:r>
      <w:r w:rsidRPr="00383D0A">
        <w:rPr>
          <w:i/>
        </w:rPr>
        <w:t xml:space="preserve"> Допускается по соглашению изготовителя с потребителем при разовых заказах изготавливать купола других размеров, но не более 1600 х 1400 мм.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 xml:space="preserve">1.3. Допускаемые отклонения размеров куполов не должны превышать в </w:t>
      </w:r>
      <w:proofErr w:type="gramStart"/>
      <w:r w:rsidRPr="00962014">
        <w:t>мм</w:t>
      </w:r>
      <w:proofErr w:type="gramEnd"/>
      <w:r w:rsidRPr="00962014">
        <w:t>: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длине и ширине ...................................... +/- 5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высоте верхней и нижней оболочек ................... +/- 10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ширине опорной площадки ............................. +/- 5</w:t>
      </w:r>
    </w:p>
    <w:p w:rsidR="007A34F2" w:rsidRPr="00962014" w:rsidRDefault="007A34F2" w:rsidP="00AA4E18">
      <w:pPr>
        <w:pStyle w:val="ConsPlusNonformat"/>
        <w:jc w:val="center"/>
      </w:pPr>
      <w:r w:rsidRPr="00962014">
        <w:t>диаметра отверстий в опорной площадке .................... + 1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ширине сварных швов ................................. +/- 2</w:t>
      </w:r>
    </w:p>
    <w:p w:rsidR="007A34F2" w:rsidRPr="00962014" w:rsidRDefault="007A34F2">
      <w:pPr>
        <w:pStyle w:val="ConsPlusNormal"/>
        <w:ind w:firstLine="540"/>
        <w:jc w:val="both"/>
      </w:pPr>
      <w:r w:rsidRPr="00962014">
        <w:t>1.4. Допускаемое отклонение от угла наклона опорной площадки купола не должно превышать 1°.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1.5. Допускаемые отклонения размеров фильтрующего клапана купола не должны превышать в </w:t>
      </w:r>
      <w:proofErr w:type="gramStart"/>
      <w:r w:rsidRPr="00962014">
        <w:t>мм</w:t>
      </w:r>
      <w:proofErr w:type="gramEnd"/>
      <w:r w:rsidRPr="00962014">
        <w:t>: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длине ................................................. + 5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ширине .............................................. +/- 5</w:t>
      </w:r>
    </w:p>
    <w:p w:rsidR="007A34F2" w:rsidRPr="00962014" w:rsidRDefault="007A34F2">
      <w:pPr>
        <w:pStyle w:val="ConsPlusNormal"/>
        <w:ind w:firstLine="540"/>
        <w:jc w:val="both"/>
      </w:pPr>
      <w:r w:rsidRPr="00962014">
        <w:t>1.6. Допускаемые отклонения от расстояния между осями шайб и от оси крайней шайбы до кромки купола не должны превышать +/- 5 мм, а от оси шайбы до кромки купола +/- 1 мм.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1.7. Допускаемые отклонения размеров шайб не должны превышать в </w:t>
      </w:r>
      <w:proofErr w:type="gramStart"/>
      <w:r w:rsidRPr="00962014">
        <w:t>мм</w:t>
      </w:r>
      <w:proofErr w:type="gramEnd"/>
      <w:r w:rsidRPr="00962014">
        <w:t>:</w:t>
      </w:r>
    </w:p>
    <w:p w:rsidR="007A34F2" w:rsidRPr="00962014" w:rsidRDefault="007A34F2" w:rsidP="00AA4E18">
      <w:pPr>
        <w:pStyle w:val="ConsPlusNonformat"/>
        <w:jc w:val="center"/>
      </w:pPr>
      <w:r w:rsidRPr="00962014">
        <w:t>в плане .................................................. 0,5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высоте ............................................ +/- 0,5</w:t>
      </w:r>
    </w:p>
    <w:p w:rsidR="007A34F2" w:rsidRPr="00962014" w:rsidRDefault="007A34F2">
      <w:pPr>
        <w:pStyle w:val="ConsPlusNormal"/>
        <w:ind w:firstLine="540"/>
        <w:jc w:val="both"/>
      </w:pPr>
      <w:r w:rsidRPr="00962014">
        <w:t xml:space="preserve">1.8. Допускаемые отклонения размеров колпачков не должны превышать в </w:t>
      </w:r>
      <w:proofErr w:type="gramStart"/>
      <w:r w:rsidRPr="00962014">
        <w:t>мм</w:t>
      </w:r>
      <w:proofErr w:type="gramEnd"/>
      <w:r w:rsidRPr="00962014">
        <w:t>:</w:t>
      </w:r>
    </w:p>
    <w:p w:rsidR="007A34F2" w:rsidRPr="00962014" w:rsidRDefault="007A34F2" w:rsidP="00AA4E18">
      <w:pPr>
        <w:pStyle w:val="ConsPlusNonformat"/>
        <w:jc w:val="center"/>
      </w:pPr>
      <w:r w:rsidRPr="00962014">
        <w:t>в плане .................................................. 0,5</w:t>
      </w:r>
    </w:p>
    <w:p w:rsidR="007A34F2" w:rsidRPr="00962014" w:rsidRDefault="007A34F2" w:rsidP="00AA4E18">
      <w:pPr>
        <w:pStyle w:val="ConsPlusNonformat"/>
        <w:jc w:val="center"/>
      </w:pPr>
      <w:r w:rsidRPr="00962014">
        <w:t>по высоте ............................................ +/- 0,5</w:t>
      </w:r>
    </w:p>
    <w:p w:rsidR="007A34F2" w:rsidRPr="00962014" w:rsidRDefault="007A34F2">
      <w:pPr>
        <w:pStyle w:val="ConsPlusNormal"/>
        <w:ind w:firstLine="540"/>
        <w:jc w:val="both"/>
      </w:pPr>
      <w:r w:rsidRPr="00962014">
        <w:t>Пример условного обозначения купола типа I размерами 1600 х 1400 мм: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>1 К 1,6 х 1,4 ГОСТ 22160-76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t>2. ТЕХНИЧЕСКИЕ ТРЕБОВАНИЯ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2.1. Для изготовления куполов должно применяться органическое техническое стекло марок ТОСП и ТОСН первого и второго сортов в виде необрезанных листов по ГОСТ 17622-72, а для изготовления куполов, которым в установленном порядке присвоен государственный Знак качества, - органическое стекло только первого сорта.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2.2. Кромки куполов должны быть прямыми. Допускаемые отклонения кромок </w:t>
      </w:r>
      <w:proofErr w:type="gramStart"/>
      <w:r w:rsidRPr="00962014">
        <w:t>от</w:t>
      </w:r>
      <w:proofErr w:type="gramEnd"/>
      <w:r w:rsidRPr="00962014">
        <w:t xml:space="preserve"> </w:t>
      </w:r>
      <w:proofErr w:type="gramStart"/>
      <w:r w:rsidRPr="00962014">
        <w:t>прямой</w:t>
      </w:r>
      <w:proofErr w:type="gramEnd"/>
      <w:r w:rsidRPr="00962014">
        <w:t xml:space="preserve"> не </w:t>
      </w:r>
      <w:r w:rsidRPr="00962014">
        <w:lastRenderedPageBreak/>
        <w:t>должны превышать +/- 5 мм, а для куполов, которым в установленном порядке присвоен государственный Знак качества, +/- 2 мм.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2.3. Купола, которым в установленном порядке присвоен государственный Знак качества, не должны иметь острых углов и кромок.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2.4. </w:t>
      </w:r>
      <w:proofErr w:type="spellStart"/>
      <w:r w:rsidRPr="00962014">
        <w:t>Околы</w:t>
      </w:r>
      <w:proofErr w:type="spellEnd"/>
      <w:r w:rsidRPr="00962014">
        <w:t xml:space="preserve"> углов опорных площадок куполов не допускаются.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2.5. На опорных площадках куполов допускаются отпечатки формующей оснастки.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2.6. </w:t>
      </w:r>
      <w:proofErr w:type="spellStart"/>
      <w:r w:rsidRPr="00962014">
        <w:t>Неплоскостность</w:t>
      </w:r>
      <w:proofErr w:type="spellEnd"/>
      <w:r w:rsidRPr="00962014">
        <w:t xml:space="preserve"> опорных площадок куполов не должна превышать 5 мм.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2.7. </w:t>
      </w:r>
      <w:proofErr w:type="gramStart"/>
      <w:r w:rsidRPr="00962014">
        <w:t>Сварные швы должны быть непрерывными, за исключением места расположения фильтрующего клапана, а для куполов, которым в установленном порядке присвоен государственный Знак качества, непрерывными и прямыми с допускаемым отклонением от прямой не более 3 мм.</w:t>
      </w:r>
      <w:proofErr w:type="gramEnd"/>
    </w:p>
    <w:p w:rsidR="007A34F2" w:rsidRPr="00962014" w:rsidRDefault="007A34F2">
      <w:pPr>
        <w:spacing w:after="1"/>
      </w:pPr>
    </w:p>
    <w:p w:rsidR="00962014" w:rsidRDefault="00962014" w:rsidP="00962014">
      <w:pPr>
        <w:pStyle w:val="ConsPlusNormal"/>
        <w:ind w:firstLine="567"/>
        <w:jc w:val="both"/>
        <w:rPr>
          <w:b/>
          <w:i/>
        </w:rPr>
      </w:pPr>
      <w:r w:rsidRPr="00962014">
        <w:rPr>
          <w:b/>
          <w:i/>
        </w:rPr>
        <w:t>Примечани</w:t>
      </w:r>
      <w:r>
        <w:rPr>
          <w:b/>
          <w:i/>
        </w:rPr>
        <w:t>я</w:t>
      </w:r>
      <w:r w:rsidRPr="00962014">
        <w:rPr>
          <w:b/>
          <w:i/>
        </w:rPr>
        <w:t>.</w:t>
      </w: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i/>
        </w:rPr>
        <w:t>Взамен ГОСТ 19170-73 Постановлением Госстандарта РФ от 30.11.2001 № 497-ст с 1 октября 2002 года введен в действие ГОСТ 19170-2001.</w:t>
      </w: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i/>
        </w:rPr>
        <w:t xml:space="preserve">Взамен ГОСТ 19907-74 Постановлением Госстандарта СССР от 03.02.1983 № 622 с 1 января 1984 года введен в действие ГОСТ 19907-83. ГОСТ 19907-83 утратил силу с 1 июня 2016 года в связи с введением в действие ГОСТ 19907-2015 (Приказ </w:t>
      </w:r>
      <w:proofErr w:type="spellStart"/>
      <w:r w:rsidRPr="00962014">
        <w:rPr>
          <w:i/>
        </w:rPr>
        <w:t>Росстандарта</w:t>
      </w:r>
      <w:proofErr w:type="spellEnd"/>
      <w:r w:rsidRPr="00962014">
        <w:rPr>
          <w:i/>
        </w:rPr>
        <w:t xml:space="preserve"> от 06.07.2015 № 857-ст).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>2.8. Фильтрующий клапан между оболочками купола должен быть изготовлен из ткани из стеклянных нитей, свернутой в три слоя, по ГОСТ 19170-73, ГОСТ 19907-74 или из ткани из стеклянных нитей по техническим условиям, утвержденным в установленном порядке.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2.9. Шайбы должны быть изготовлены из сополимеров стирола по ГОСТ 12271-66.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2.10. Шайбы должны быть приклеены к опорной площадке купола клеем из пластмассы АСТ-Т или технического </w:t>
      </w:r>
      <w:proofErr w:type="spellStart"/>
      <w:r w:rsidRPr="00962014">
        <w:t>бутакрила</w:t>
      </w:r>
      <w:proofErr w:type="spellEnd"/>
      <w:r w:rsidRPr="00962014">
        <w:t xml:space="preserve"> по техническим условиям, утвержденным в установленном порядке.</w:t>
      </w:r>
    </w:p>
    <w:p w:rsidR="007A34F2" w:rsidRPr="00962014" w:rsidRDefault="007A34F2">
      <w:pPr>
        <w:spacing w:after="1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>
        <w:rPr>
          <w:i/>
        </w:rPr>
        <w:t xml:space="preserve"> </w:t>
      </w:r>
      <w:r w:rsidRPr="00962014">
        <w:rPr>
          <w:i/>
        </w:rPr>
        <w:t>Взамен ГОСТ 16337-70 Постановлением Госстандарта СССР от 11.10.1977 № 2425 с 1 января 1979 года введен в действие ГОСТ 16337-77.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bookmarkStart w:id="3" w:name="P124"/>
      <w:bookmarkEnd w:id="3"/>
      <w:r w:rsidRPr="00962014">
        <w:t xml:space="preserve">2.11. Колпачки должны быть изготовлены из полиэтилена низкой плотности с </w:t>
      </w:r>
      <w:proofErr w:type="spellStart"/>
      <w:r w:rsidRPr="00962014">
        <w:t>терм</w:t>
      </w:r>
      <w:proofErr w:type="gramStart"/>
      <w:r w:rsidRPr="00962014">
        <w:t>о</w:t>
      </w:r>
      <w:proofErr w:type="spellEnd"/>
      <w:r w:rsidRPr="00962014">
        <w:t>-</w:t>
      </w:r>
      <w:proofErr w:type="gramEnd"/>
      <w:r w:rsidRPr="00962014">
        <w:t xml:space="preserve"> и </w:t>
      </w:r>
      <w:proofErr w:type="spellStart"/>
      <w:r w:rsidRPr="00962014">
        <w:t>светостабилизаторами</w:t>
      </w:r>
      <w:proofErr w:type="spellEnd"/>
      <w:r w:rsidRPr="00962014">
        <w:t xml:space="preserve"> первого или второго сорта по ГОСТ 16337-70.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2.12. Купола типа 1 должны поставляться вместе с колпачками.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t>3. ПРАВИЛА ПРИЕМКИ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3.1. Купола должны быть приняты техническим контролем предприятия-изготовителя в соответствии с требованиями настоящего стандарта.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3.2. Приемку куполов производят партиями. Партией считают не более 20 куполов одного типа и размера с соответствующим количеством шайб и колпачков.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3.3. Все купола в партии подвергают проверке по показателям внешнего вида.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3.4. От куполов, признанных годными по показателям внешнего вида, отбирают три купола с соответствующим количеством шайб и колпачков для проверки на соответствие требованиям </w:t>
      </w:r>
      <w:proofErr w:type="spellStart"/>
      <w:r w:rsidRPr="00962014">
        <w:t>пп</w:t>
      </w:r>
      <w:proofErr w:type="spellEnd"/>
      <w:r w:rsidRPr="00962014">
        <w:t xml:space="preserve">. </w:t>
      </w:r>
      <w:r w:rsidRPr="00962014">
        <w:lastRenderedPageBreak/>
        <w:t>1.2 - 2.11.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3.5. При получении неудовлетворительных результатов проверки куполов хотя бы по одному из показателей, производят поштучную приемку куполов.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При получении неудовлетворительных результатов проверки хотя бы по одному из показателей куполов, которым в установленном порядке присвоен государственный Знак качества, последние приемке по высшей категории качества не подлежат.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3.6. Потребитель имеет право производить контрольную проверку соответствия куполов требованиям настоящего стандарта, соблюдая при этом приведенный порядок отбора образцов и применяя указанные ниже методы испытаний.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t>4. МЕТОДЫ ИСПЫТАНИЙ</w:t>
      </w:r>
    </w:p>
    <w:p w:rsidR="007A34F2" w:rsidRPr="00962014" w:rsidRDefault="007A34F2">
      <w:pPr>
        <w:pStyle w:val="ConsPlusNormal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 w:rsidRPr="00962014">
        <w:rPr>
          <w:i/>
        </w:rPr>
        <w:t xml:space="preserve"> Постановлением Госстандарта РФ от 27.07.1999 № 220-ст с 1 июля 2000 года введен в действие ГОСТ 7502-98.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>4.1. Размеры куполов и их элементов, расстояния между осями шайб, от оси крайней шайбы до кромки купола, от оси шайбы до кромки купола, высоту шайб и колпачков определяют рулеткой по ГОСТ 7502-69 или линейкой по ГОСТ 427-75 с погрешностью до 1 мм.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4.2. Высоту оболочек купола определяют с помощью устройства, схема которого указана </w:t>
      </w:r>
      <w:proofErr w:type="gramStart"/>
      <w:r w:rsidRPr="00962014">
        <w:t>на</w:t>
      </w:r>
      <w:proofErr w:type="gramEnd"/>
      <w:r w:rsidRPr="00962014">
        <w:t xml:space="preserve"> черт. 3.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>Схема устройства для определения</w:t>
      </w:r>
      <w:r w:rsidR="00AA4E18">
        <w:rPr>
          <w:lang w:val="en-US"/>
        </w:rPr>
        <w:t xml:space="preserve"> </w:t>
      </w:r>
      <w:r w:rsidRPr="00962014">
        <w:t>высоты оболочек купола</w:t>
      </w:r>
    </w:p>
    <w:p w:rsidR="007A34F2" w:rsidRPr="00962014" w:rsidRDefault="007A34F2">
      <w:pPr>
        <w:pStyle w:val="ConsPlusNormal"/>
      </w:pPr>
    </w:p>
    <w:p w:rsidR="007A34F2" w:rsidRPr="00962014" w:rsidRDefault="00962014">
      <w:pPr>
        <w:pStyle w:val="ConsPlusNormal"/>
        <w:jc w:val="center"/>
      </w:pPr>
      <w:r w:rsidRPr="00962014">
        <w:rPr>
          <w:position w:val="-208"/>
        </w:rPr>
        <w:pict>
          <v:shape id="_x0000_i1027" style="width:345.5pt;height:219.75pt" coordsize="" o:spt="100" adj="0,,0" path="" filled="f" stroked="f">
            <v:stroke joinstyle="miter"/>
            <v:imagedata r:id="rId9" o:title="base_44_817_32770"/>
            <v:formulas/>
            <v:path o:connecttype="segments"/>
          </v:shape>
        </w:pic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>Черт. 3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 xml:space="preserve">1 </w:t>
      </w:r>
      <w:r w:rsidR="00962014">
        <w:t>–</w:t>
      </w:r>
      <w:r w:rsidRPr="00962014">
        <w:t xml:space="preserve"> стол; 2 </w:t>
      </w:r>
      <w:r w:rsidR="00962014">
        <w:t>–</w:t>
      </w:r>
      <w:r w:rsidRPr="00962014">
        <w:t xml:space="preserve"> купол; 3 </w:t>
      </w:r>
      <w:r w:rsidR="00962014">
        <w:t>–</w:t>
      </w:r>
      <w:r w:rsidRPr="00962014">
        <w:t xml:space="preserve"> измерительная рейка;</w:t>
      </w:r>
      <w:r w:rsidR="00962014">
        <w:t xml:space="preserve"> </w:t>
      </w:r>
      <w:r w:rsidRPr="00962014">
        <w:t xml:space="preserve">4 </w:t>
      </w:r>
      <w:r w:rsidR="00962014">
        <w:t>–</w:t>
      </w:r>
      <w:r w:rsidRPr="00962014">
        <w:t xml:space="preserve"> контрольные рейки.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 xml:space="preserve">4.3. Угол наклона опорной площадки купола определяют угломером, как указано </w:t>
      </w:r>
      <w:proofErr w:type="gramStart"/>
      <w:r w:rsidRPr="00962014">
        <w:t>на</w:t>
      </w:r>
      <w:proofErr w:type="gramEnd"/>
      <w:r w:rsidRPr="00962014">
        <w:t xml:space="preserve"> черт. 4.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>Пример определения угла наклона</w:t>
      </w:r>
      <w:r w:rsidR="00962014">
        <w:t xml:space="preserve"> </w:t>
      </w:r>
      <w:r w:rsidRPr="00962014">
        <w:t>опорной площадки купола</w:t>
      </w:r>
    </w:p>
    <w:p w:rsidR="007A34F2" w:rsidRPr="00962014" w:rsidRDefault="007A34F2">
      <w:pPr>
        <w:pStyle w:val="ConsPlusNormal"/>
        <w:jc w:val="center"/>
      </w:pPr>
    </w:p>
    <w:p w:rsidR="007A34F2" w:rsidRPr="00962014" w:rsidRDefault="00962014">
      <w:pPr>
        <w:pStyle w:val="ConsPlusNormal"/>
        <w:jc w:val="center"/>
      </w:pPr>
      <w:r w:rsidRPr="00962014">
        <w:rPr>
          <w:position w:val="-121"/>
        </w:rPr>
        <w:lastRenderedPageBreak/>
        <w:pict>
          <v:shape id="_x0000_i1028" style="width:384.2pt;height:132.7pt" coordsize="" o:spt="100" adj="0,,0" path="" filled="f" stroked="f">
            <v:stroke joinstyle="miter"/>
            <v:imagedata r:id="rId10" o:title="base_44_817_32771"/>
            <v:formulas/>
            <v:path o:connecttype="segments"/>
          </v:shape>
        </w:pict>
      </w:r>
    </w:p>
    <w:p w:rsidR="007A34F2" w:rsidRPr="00962014" w:rsidRDefault="007A34F2">
      <w:pPr>
        <w:pStyle w:val="ConsPlusNormal"/>
        <w:jc w:val="center"/>
      </w:pPr>
    </w:p>
    <w:p w:rsidR="007A34F2" w:rsidRPr="00962014" w:rsidRDefault="007A34F2">
      <w:pPr>
        <w:pStyle w:val="ConsPlusNormal"/>
        <w:jc w:val="center"/>
      </w:pPr>
      <w:r w:rsidRPr="00962014">
        <w:t>Черт. 4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</w:pPr>
      <w:r w:rsidRPr="00962014">
        <w:t xml:space="preserve">1 </w:t>
      </w:r>
      <w:r w:rsidR="00962014">
        <w:t>–</w:t>
      </w:r>
      <w:r w:rsidRPr="00962014">
        <w:t xml:space="preserve"> купол; 2 </w:t>
      </w:r>
      <w:r w:rsidR="00962014">
        <w:t>–</w:t>
      </w:r>
      <w:r w:rsidRPr="00962014">
        <w:t xml:space="preserve"> угломер; 3 </w:t>
      </w:r>
      <w:r w:rsidR="00962014">
        <w:t>–</w:t>
      </w:r>
      <w:r w:rsidRPr="00962014">
        <w:t xml:space="preserve"> стол.</w:t>
      </w:r>
    </w:p>
    <w:p w:rsidR="007A34F2" w:rsidRPr="00962014" w:rsidRDefault="007A34F2">
      <w:pPr>
        <w:pStyle w:val="ConsPlusNormal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>
        <w:rPr>
          <w:i/>
        </w:rPr>
        <w:t xml:space="preserve"> </w:t>
      </w:r>
      <w:r w:rsidRPr="00962014">
        <w:rPr>
          <w:i/>
        </w:rPr>
        <w:t>С 1 января 1991 года Постановлением Госстандарта СССР от 30.10.1989 № 3253 введен в действие ГОСТ 166-89.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>4.4. Диаметр отверстий в опорной площадке купола, диаметры шайб и колпачков определяют штангенциркулем по ГОСТ 166-73.</w:t>
      </w:r>
    </w:p>
    <w:p w:rsidR="007A34F2" w:rsidRPr="00962014" w:rsidRDefault="007A34F2">
      <w:pPr>
        <w:spacing w:after="1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>
        <w:rPr>
          <w:i/>
          <w:lang w:val="en-US"/>
        </w:rPr>
        <w:t xml:space="preserve"> </w:t>
      </w:r>
      <w:r w:rsidRPr="00962014">
        <w:rPr>
          <w:i/>
        </w:rPr>
        <w:t>В официальном тексте документа, видимо, допущена опечатка: имеется в виду ГОСТ 17622-72, а не ГОСТ 17622-62.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>4.5. Проверку внешнего вида куполов производят по ГОСТ 17622-62 путем их осмотра в проходящем и отраженном свете при рассеянном освещении, устанавливая купол вертикально (на ребро).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4.6. Отклонение кромок купола от прямой определяют измерением щупом по ГОСТ 882-64 максимального зазора, образующегося при приложении линейки по ГОСТ 427-75 к кромке купола.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4.7. </w:t>
      </w:r>
      <w:proofErr w:type="spellStart"/>
      <w:r w:rsidRPr="00962014">
        <w:t>Неплоскостность</w:t>
      </w:r>
      <w:proofErr w:type="spellEnd"/>
      <w:r w:rsidRPr="00962014">
        <w:t xml:space="preserve"> опорной площадки купола определяют измерением щупом по ГОСТ 882-64 максимального зазора, образующегося при установке купола на ровную поверхность.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t>5. УПАКОВКА, МАРКИРОВКА, ТРАНСПОРТИРОВАНИЕ И ХРАНЕНИЕ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 xml:space="preserve">5.1. Купола должны быть оклеены с двух сторон оберточной бумагой по ГОСТ 8273-75 с применением </w:t>
      </w:r>
      <w:proofErr w:type="spellStart"/>
      <w:proofErr w:type="gramStart"/>
      <w:r w:rsidRPr="00962014">
        <w:t>желатино</w:t>
      </w:r>
      <w:proofErr w:type="spellEnd"/>
      <w:r w:rsidRPr="00962014">
        <w:t>-глицеринового</w:t>
      </w:r>
      <w:proofErr w:type="gramEnd"/>
      <w:r w:rsidRPr="00962014">
        <w:t xml:space="preserve"> клея, растворенного в воде. При оклейке куполов допускаются складки и морщины бумаги.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5.2. На каждый купол, обернутый бумагой, наклеивают этикетку с указанием товарного знака предприятия-изготовителя или его краткого наименования и изображения государственного Знака качества по ГОСТ 1.9-67 для куполов, которым он присвоен.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5.3. Купола в количестве не более 10 шт. должны быть упакованы в ящики или контейнеры и неподвижно в них закреплены в вертикальном положении (на ребро) в один ряд по высоте.</w:t>
      </w:r>
    </w:p>
    <w:p w:rsidR="007A34F2" w:rsidRPr="00962014" w:rsidRDefault="007A34F2">
      <w:pPr>
        <w:spacing w:after="1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>
        <w:rPr>
          <w:i/>
          <w:lang w:val="en-US"/>
        </w:rPr>
        <w:t xml:space="preserve"> </w:t>
      </w:r>
      <w:r w:rsidRPr="00962014">
        <w:rPr>
          <w:i/>
        </w:rPr>
        <w:t>Взамен ГОСТ 10354-73 Постановлением Госстандарта СССР от 02.06.1982 № 2253 с 1 июля 1983 года введен в действие ГОСТ 10354-82.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>5.4. Колпачки должны быть упакованы в мешки из полиэтиленовой пленки по ГОСТ 10354-73, которые прикрепляют к внутренней боковой стенке ящика или контейнера.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5.5. На каждый ящик должна быть наклеена этикетка и в каждый контейнер должен быть </w:t>
      </w:r>
      <w:r w:rsidRPr="00962014">
        <w:lastRenderedPageBreak/>
        <w:t>вложен ярлык, в котором указывают: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а) наименование организации, в системе которой находится предприятие-изготовитель;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б) наименование и адрес предприятия-изготовителя;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в) наименование, количество и условное обозначение куполов;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г) номер партии и дату изготовления;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д) штамп ОТК;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е) обозначение настоящего стандарта;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ж) изображение государственного Знака качества по ГОСТ 1.9-67 для куполов, которым он присвоен.</w:t>
      </w:r>
    </w:p>
    <w:p w:rsidR="007A34F2" w:rsidRPr="00962014" w:rsidRDefault="007A34F2">
      <w:pPr>
        <w:spacing w:after="1"/>
      </w:pPr>
    </w:p>
    <w:p w:rsidR="00962014" w:rsidRPr="00962014" w:rsidRDefault="00962014" w:rsidP="00962014">
      <w:pPr>
        <w:pStyle w:val="ConsPlusNormal"/>
        <w:ind w:firstLine="567"/>
        <w:jc w:val="both"/>
        <w:rPr>
          <w:i/>
        </w:rPr>
      </w:pPr>
      <w:r w:rsidRPr="00962014">
        <w:rPr>
          <w:b/>
          <w:i/>
        </w:rPr>
        <w:t>Примечание.</w:t>
      </w:r>
      <w:r>
        <w:rPr>
          <w:i/>
          <w:lang w:val="en-US"/>
        </w:rPr>
        <w:t xml:space="preserve"> </w:t>
      </w:r>
      <w:r w:rsidRPr="00962014">
        <w:rPr>
          <w:i/>
        </w:rPr>
        <w:t xml:space="preserve">Постановлением Госстроя РФ от 18.06.1997 № 219 с 1 января 1998 года введен в действие ГОСТ 14192-96 </w:t>
      </w:r>
      <w:r>
        <w:rPr>
          <w:i/>
        </w:rPr>
        <w:t>«</w:t>
      </w:r>
      <w:r w:rsidRPr="00962014">
        <w:rPr>
          <w:i/>
        </w:rPr>
        <w:t>Маркировка грузов</w:t>
      </w:r>
      <w:r>
        <w:rPr>
          <w:i/>
        </w:rPr>
        <w:t>»</w:t>
      </w:r>
      <w:r w:rsidRPr="00962014">
        <w:rPr>
          <w:i/>
        </w:rPr>
        <w:t>.</w:t>
      </w:r>
    </w:p>
    <w:p w:rsidR="007A34F2" w:rsidRPr="00962014" w:rsidRDefault="007A34F2">
      <w:pPr>
        <w:pStyle w:val="ConsPlusNormal"/>
        <w:spacing w:before="280"/>
        <w:ind w:firstLine="540"/>
        <w:jc w:val="both"/>
      </w:pPr>
      <w:r w:rsidRPr="00962014">
        <w:t xml:space="preserve">5.6. На каждом ящике или контейнере должны быть нанесены предупредительные знаки по ГОСТ 14192-71, означающие: </w:t>
      </w:r>
      <w:r w:rsidR="00962014">
        <w:t>«</w:t>
      </w:r>
      <w:r w:rsidRPr="00962014">
        <w:t xml:space="preserve">Осторожно, </w:t>
      </w:r>
      <w:proofErr w:type="gramStart"/>
      <w:r w:rsidRPr="00962014">
        <w:t>хрупкое</w:t>
      </w:r>
      <w:proofErr w:type="gramEnd"/>
      <w:r w:rsidR="00962014">
        <w:t>»</w:t>
      </w:r>
      <w:r w:rsidRPr="00962014">
        <w:t xml:space="preserve">, </w:t>
      </w:r>
      <w:r w:rsidR="00962014">
        <w:t>«</w:t>
      </w:r>
      <w:r w:rsidRPr="00962014">
        <w:t>Верх, не кантовать</w:t>
      </w:r>
      <w:r w:rsidR="00962014">
        <w:t>»</w:t>
      </w:r>
      <w:r w:rsidRPr="00962014">
        <w:t xml:space="preserve">, </w:t>
      </w:r>
      <w:r w:rsidR="00962014">
        <w:t>«</w:t>
      </w:r>
      <w:r w:rsidRPr="00962014">
        <w:t>Боится сырости</w:t>
      </w:r>
      <w:r w:rsidR="00962014">
        <w:t>»</w:t>
      </w:r>
      <w:r w:rsidRPr="00962014">
        <w:t xml:space="preserve">, </w:t>
      </w:r>
      <w:r w:rsidR="00962014">
        <w:t>«</w:t>
      </w:r>
      <w:r w:rsidRPr="00962014">
        <w:t>Боится нагрева</w:t>
      </w:r>
      <w:r w:rsidR="00962014">
        <w:t>»</w:t>
      </w:r>
      <w:r w:rsidRPr="00962014">
        <w:t>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5.7. Предприятие-изготовитель должно гарантировать соответствие куполов требованиям настоящего стандарта при соблюдении потребителем условий транспортирования и хранения, установленных настоящим стандартом, и сопровождать каждую партию куполов паспортом, в котором указывают: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а) наименование организации, в системе которой находится предприятие-изготовитель;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б) наименование и адрес предприятия-изготовителя;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в) наименование, количество и условное обозначение куполов;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г) номер партии и дату изготовления;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д) штамп ОТК;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е) обозначение настоящего стандарта;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ж) изображение государственного Знака качества по ГОСТ 1.9-67 для куполов, которым он присвоен.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5.8. Транспортирование куполов производят любым видом транспорта. При транспортировании, погрузке и выгрузке куполов должны быть приняты меры, обеспечивающие их сохранность от механических повреждений.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5.9. Купола должны храниться в вертикальном положении в закрытых помещениях на расстоянии не менее 1 м от нагревательных приборов с соблюдением установленных правил пожарной безопасности.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5.10. Не допускается хранение куполов в одном помещении с химическими веществами (щелочами, кислотами, растворителями), оказывающими агрессивное воздействие на органическое стекло.</w:t>
      </w:r>
    </w:p>
    <w:p w:rsidR="007A34F2" w:rsidRDefault="007A34F2">
      <w:pPr>
        <w:pStyle w:val="ConsPlusNormal"/>
        <w:rPr>
          <w:lang w:val="en-US"/>
        </w:rPr>
      </w:pPr>
    </w:p>
    <w:p w:rsidR="00AA4E18" w:rsidRPr="00AA4E18" w:rsidRDefault="00AA4E18">
      <w:pPr>
        <w:pStyle w:val="ConsPlusNormal"/>
        <w:rPr>
          <w:lang w:val="en-US"/>
        </w:rPr>
      </w:pPr>
    </w:p>
    <w:p w:rsidR="007A34F2" w:rsidRPr="00962014" w:rsidRDefault="007A34F2">
      <w:pPr>
        <w:pStyle w:val="ConsPlusNormal"/>
        <w:jc w:val="center"/>
        <w:outlineLvl w:val="1"/>
        <w:rPr>
          <w:b/>
        </w:rPr>
      </w:pPr>
      <w:r w:rsidRPr="00962014">
        <w:rPr>
          <w:b/>
        </w:rPr>
        <w:lastRenderedPageBreak/>
        <w:t>6. УКАЗАНИЯ ПО МОНТАЖУ И ЭКСПЛУАТАЦИИ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6.1. Купола, поставляемые на строительство, должны находиться в таре и бумажной упаковке до их монтажа в конструкциях зенитных фонарей.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6.2. Монтаж куполов должен производиться способами, исключающими возможность механических повреждений или загрязнения их поверхностей.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6.3. Купола типа 1 должны крепиться к опорным элементам шурупами, типа 2 - </w:t>
      </w:r>
      <w:proofErr w:type="spellStart"/>
      <w:r w:rsidRPr="00962014">
        <w:t>кляммерами</w:t>
      </w:r>
      <w:proofErr w:type="spellEnd"/>
      <w:r w:rsidRPr="00962014">
        <w:t>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6.4. Очистка поверхности куполов от загрязнений должна производиться теплой водой с применением моющих средств. Протирка поверхности органическими растворителями (ацетоном, дихлорэтаном и т.п.) не допускается.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6.5. Скалывание наледей и смерзшегося снега с поверхности куполов при их эксплуатации не допускается.</w:t>
      </w:r>
    </w:p>
    <w:p w:rsidR="00962014" w:rsidRDefault="0096201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A34F2" w:rsidRPr="00962014" w:rsidRDefault="007A34F2">
      <w:pPr>
        <w:pStyle w:val="ConsPlusNormal"/>
        <w:jc w:val="right"/>
        <w:outlineLvl w:val="0"/>
      </w:pPr>
      <w:r w:rsidRPr="00962014">
        <w:lastRenderedPageBreak/>
        <w:t>Приложение 1</w:t>
      </w:r>
    </w:p>
    <w:p w:rsidR="007A34F2" w:rsidRPr="00962014" w:rsidRDefault="007A34F2">
      <w:pPr>
        <w:pStyle w:val="ConsPlusNormal"/>
        <w:jc w:val="right"/>
      </w:pPr>
      <w:r w:rsidRPr="00962014">
        <w:t>Справочное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rPr>
          <w:b/>
        </w:rPr>
      </w:pPr>
      <w:r w:rsidRPr="00962014">
        <w:rPr>
          <w:b/>
        </w:rPr>
        <w:t>ТЕПЛОТЕХНИЧЕСКАЯ И СВЕТОТЕХНИЧЕСКАЯ</w:t>
      </w:r>
    </w:p>
    <w:p w:rsidR="007A34F2" w:rsidRPr="00962014" w:rsidRDefault="007A34F2">
      <w:pPr>
        <w:pStyle w:val="ConsPlusNormal"/>
        <w:jc w:val="center"/>
        <w:rPr>
          <w:b/>
        </w:rPr>
      </w:pPr>
      <w:r w:rsidRPr="00962014">
        <w:rPr>
          <w:b/>
        </w:rPr>
        <w:t>ХАРАКТЕРИСТИКИ КУПОЛОВ</w:t>
      </w:r>
    </w:p>
    <w:p w:rsidR="007A34F2" w:rsidRPr="00962014" w:rsidRDefault="007A34F2">
      <w:pPr>
        <w:pStyle w:val="ConsPlusNormal"/>
      </w:pPr>
    </w:p>
    <w:p w:rsidR="007A34F2" w:rsidRPr="00962014" w:rsidRDefault="007A34F2" w:rsidP="00AA4E18">
      <w:pPr>
        <w:pStyle w:val="ConsPlusNonformat"/>
        <w:jc w:val="center"/>
      </w:pPr>
      <w:r w:rsidRPr="00962014">
        <w:t>Коэффициент теплопередачи ..................... 2,86 Вт/м</w:t>
      </w:r>
      <w:r w:rsidRPr="00AA4E18">
        <w:rPr>
          <w:vertAlign w:val="superscript"/>
        </w:rPr>
        <w:t>2</w:t>
      </w:r>
      <w:r w:rsidRPr="00962014">
        <w:t xml:space="preserve"> х</w:t>
      </w:r>
      <w:proofErr w:type="gramStart"/>
      <w:r w:rsidRPr="00962014">
        <w:t xml:space="preserve"> К</w:t>
      </w:r>
      <w:proofErr w:type="gramEnd"/>
    </w:p>
    <w:p w:rsidR="007A34F2" w:rsidRPr="00962014" w:rsidRDefault="007A34F2" w:rsidP="00AA4E18">
      <w:pPr>
        <w:pStyle w:val="ConsPlusNonformat"/>
        <w:jc w:val="center"/>
      </w:pPr>
      <w:r w:rsidRPr="00962014">
        <w:t>Коэффициент светопропускания ............................ 0,81</w:t>
      </w:r>
    </w:p>
    <w:p w:rsidR="00962014" w:rsidRDefault="0096201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A34F2" w:rsidRPr="00962014" w:rsidRDefault="007A34F2">
      <w:pPr>
        <w:pStyle w:val="ConsPlusNormal"/>
        <w:jc w:val="right"/>
        <w:outlineLvl w:val="0"/>
      </w:pPr>
      <w:r w:rsidRPr="00962014">
        <w:lastRenderedPageBreak/>
        <w:t>Приложение 2</w:t>
      </w:r>
    </w:p>
    <w:p w:rsidR="007A34F2" w:rsidRPr="00962014" w:rsidRDefault="007A34F2">
      <w:pPr>
        <w:pStyle w:val="ConsPlusNormal"/>
        <w:jc w:val="right"/>
      </w:pPr>
      <w:r w:rsidRPr="00962014">
        <w:t>Справочное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jc w:val="center"/>
        <w:rPr>
          <w:b/>
        </w:rPr>
      </w:pPr>
      <w:r w:rsidRPr="00962014">
        <w:rPr>
          <w:b/>
        </w:rPr>
        <w:t>ТРЕБОВАНИЯ ПОЖАРНОЙ БЕЗОПАСНОСТИ К ЗЕНИТНЫМ ФОНАРЯМ</w:t>
      </w:r>
      <w:r w:rsidR="00962014">
        <w:rPr>
          <w:b/>
        </w:rPr>
        <w:t xml:space="preserve"> </w:t>
      </w:r>
      <w:r w:rsidRPr="00962014">
        <w:rPr>
          <w:b/>
        </w:rPr>
        <w:t>С КУПОЛАМИ ИЗ ОРГАНИЧЕСКОГО СТЕКЛА</w:t>
      </w:r>
    </w:p>
    <w:p w:rsidR="007A34F2" w:rsidRPr="00962014" w:rsidRDefault="007A34F2">
      <w:pPr>
        <w:pStyle w:val="ConsPlusNormal"/>
      </w:pPr>
    </w:p>
    <w:p w:rsidR="007A34F2" w:rsidRPr="00962014" w:rsidRDefault="007A34F2">
      <w:pPr>
        <w:pStyle w:val="ConsPlusNormal"/>
        <w:ind w:firstLine="540"/>
        <w:jc w:val="both"/>
      </w:pPr>
      <w:r w:rsidRPr="00962014">
        <w:t>1. Зенитные фонари разрешается применять для устройства естественного освещения помещений зданий промышленных предприятий не ниже II степени огнестойкости, в которых размещаются производства, относимые по пожарной опасности к категориям Г и Д.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2. Общая площадь световых проемов зенитных фонарей должна составлять не более 15% от площади покрытия.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3. Зенитные фонари разрешается совмещать в группы, принимая их за один фонарь. Общая площадь световых проемов этих фонарей не должна превышать 10 м</w:t>
      </w:r>
      <w:proofErr w:type="gramStart"/>
      <w:r w:rsidRPr="00962014">
        <w:rPr>
          <w:vertAlign w:val="superscript"/>
        </w:rPr>
        <w:t>2</w:t>
      </w:r>
      <w:proofErr w:type="gramEnd"/>
      <w:r w:rsidRPr="00962014">
        <w:t>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4. Расстояние между зенитными фонарями в свету должно быть не менее: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а) при площади световых проемов до 5 м</w:t>
      </w:r>
      <w:proofErr w:type="gramStart"/>
      <w:r w:rsidRPr="00962014">
        <w:rPr>
          <w:vertAlign w:val="superscript"/>
        </w:rPr>
        <w:t>2</w:t>
      </w:r>
      <w:proofErr w:type="gramEnd"/>
      <w:r w:rsidRPr="00962014">
        <w:t xml:space="preserve"> </w:t>
      </w:r>
      <w:r w:rsidR="00962014">
        <w:t>–</w:t>
      </w:r>
      <w:r w:rsidRPr="00962014">
        <w:t xml:space="preserve"> 3 м;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б) при площади световых проемов от 5 до 10 м</w:t>
      </w:r>
      <w:proofErr w:type="gramStart"/>
      <w:r w:rsidRPr="00962014">
        <w:rPr>
          <w:vertAlign w:val="superscript"/>
        </w:rPr>
        <w:t>2</w:t>
      </w:r>
      <w:proofErr w:type="gramEnd"/>
      <w:r w:rsidRPr="00962014">
        <w:t xml:space="preserve"> </w:t>
      </w:r>
      <w:r w:rsidR="00962014">
        <w:t>–</w:t>
      </w:r>
      <w:r w:rsidRPr="00962014">
        <w:t xml:space="preserve"> 4,5 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5. Расстояние между зенитными фонарями в свету площадью световых проемов от 5 до 10 м</w:t>
      </w:r>
      <w:proofErr w:type="gramStart"/>
      <w:r w:rsidRPr="00962014">
        <w:rPr>
          <w:vertAlign w:val="superscript"/>
        </w:rPr>
        <w:t>2</w:t>
      </w:r>
      <w:proofErr w:type="gramEnd"/>
      <w:r w:rsidRPr="00962014">
        <w:t>, размещаемыми в покрытии в продольном направлении с шагом 6 м и более, в поперечном направлении может быть уменьшено до 3 м, причем через каждые 4 фонаря должны быть устроены противопожарные разрывы шириной не менее 6 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6. В покрытии здания через каждые 54 м </w:t>
      </w:r>
      <w:proofErr w:type="gramStart"/>
      <w:r w:rsidRPr="00962014">
        <w:t>между</w:t>
      </w:r>
      <w:proofErr w:type="gramEnd"/>
      <w:r w:rsidRPr="00962014">
        <w:t xml:space="preserve"> зенитными</w:t>
      </w:r>
    </w:p>
    <w:p w:rsidR="007A34F2" w:rsidRPr="00962014" w:rsidRDefault="007A34F2">
      <w:pPr>
        <w:pStyle w:val="ConsPlusNormal"/>
        <w:spacing w:before="220"/>
        <w:jc w:val="both"/>
      </w:pPr>
      <w:proofErr w:type="gramStart"/>
      <w:r w:rsidRPr="00962014">
        <w:t>фонарями в продольном и поперечном направлениях должны быть устроены противопожарные разрывы шириной не менее 6 м. Расстояние по горизонтали от противопожарных стен до зенитных фонарей должно быть не менее 5 м.</w:t>
      </w:r>
      <w:proofErr w:type="gramEnd"/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 xml:space="preserve">7. Утепление покрытий, в которых устанавливаются зенитные фонари, должно быть выполнено из несгораемых или </w:t>
      </w:r>
      <w:proofErr w:type="spellStart"/>
      <w:r w:rsidRPr="00962014">
        <w:t>трудносгораемых</w:t>
      </w:r>
      <w:proofErr w:type="spellEnd"/>
      <w:r w:rsidRPr="00962014">
        <w:t xml:space="preserve"> материалов.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8. Покрытие с рулонными кровлями должно иметь защитный слой по всей кровле толщиной 10-15 мм из мелкого гравия, крупность зерен которого должна быть 5-10 мм.</w:t>
      </w:r>
    </w:p>
    <w:p w:rsidR="007A34F2" w:rsidRPr="00962014" w:rsidRDefault="007A34F2">
      <w:pPr>
        <w:pStyle w:val="ConsPlusNormal"/>
        <w:spacing w:before="220"/>
        <w:ind w:firstLine="540"/>
        <w:jc w:val="both"/>
      </w:pPr>
      <w:r w:rsidRPr="00962014">
        <w:t>9. Часть зенитных фонарей общей площадью световых проемов не менее 0,6% от площади пола должна быть оборудована специальными устройствами и механизмами для автоматического открывания с целью удаления дыма из помещений в случае пожара. Эти фонари должны быть равномерно размещены по площади покрытия.</w:t>
      </w:r>
    </w:p>
    <w:sectPr w:rsidR="007A34F2" w:rsidRPr="00962014" w:rsidSect="003E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F2"/>
    <w:rsid w:val="00382EB1"/>
    <w:rsid w:val="00383D0A"/>
    <w:rsid w:val="003938BF"/>
    <w:rsid w:val="006A1888"/>
    <w:rsid w:val="007A34F2"/>
    <w:rsid w:val="00962014"/>
    <w:rsid w:val="00AA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4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34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34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34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34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8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3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4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34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34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34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34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8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3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statyi-polzovateley/zenitnyie-fonari-vidyi-tipyi-konstruktsiya-i-trebovani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2AC9-F16E-403E-9A58-1509830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2018-07-06T17:10:00Z</dcterms:created>
  <dcterms:modified xsi:type="dcterms:W3CDTF">2018-07-07T11:48:00Z</dcterms:modified>
</cp:coreProperties>
</file>