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0C3" w:rsidRPr="00D236BB" w:rsidRDefault="006A00C3">
      <w:pPr>
        <w:pStyle w:val="ConsPlusNormal"/>
        <w:jc w:val="right"/>
        <w:outlineLvl w:val="0"/>
      </w:pPr>
      <w:proofErr w:type="gramStart"/>
      <w:r w:rsidRPr="00D236BB">
        <w:t>Введены</w:t>
      </w:r>
      <w:proofErr w:type="gramEnd"/>
      <w:r w:rsidRPr="00D236BB">
        <w:t xml:space="preserve"> в действие</w:t>
      </w:r>
    </w:p>
    <w:p w:rsidR="006A00C3" w:rsidRPr="00D236BB" w:rsidRDefault="006A00C3">
      <w:pPr>
        <w:pStyle w:val="ConsPlusNormal"/>
        <w:jc w:val="right"/>
      </w:pPr>
      <w:r w:rsidRPr="00D236BB">
        <w:t>Приказом ГУГПС МВД РФ</w:t>
      </w:r>
    </w:p>
    <w:p w:rsidR="006A00C3" w:rsidRPr="00D236BB" w:rsidRDefault="006A00C3">
      <w:pPr>
        <w:pStyle w:val="ConsPlusNormal"/>
        <w:jc w:val="right"/>
      </w:pPr>
      <w:r w:rsidRPr="00D236BB">
        <w:t>от 29 апреля 1997 г</w:t>
      </w:r>
      <w:r w:rsidR="00D236BB" w:rsidRPr="00D236BB">
        <w:t>ода</w:t>
      </w:r>
      <w:r w:rsidRPr="00D236BB">
        <w:t xml:space="preserve"> </w:t>
      </w:r>
      <w:r w:rsidR="00D236BB" w:rsidRPr="00D236BB">
        <w:t>№</w:t>
      </w:r>
      <w:r w:rsidRPr="00D236BB">
        <w:t xml:space="preserve"> 25</w:t>
      </w:r>
    </w:p>
    <w:p w:rsidR="006A00C3" w:rsidRPr="00D236BB" w:rsidRDefault="006A00C3">
      <w:pPr>
        <w:pStyle w:val="ConsPlusNormal"/>
        <w:jc w:val="center"/>
      </w:pPr>
    </w:p>
    <w:p w:rsidR="006A00C3" w:rsidRPr="00D236BB" w:rsidRDefault="006A00C3">
      <w:pPr>
        <w:pStyle w:val="ConsPlusTitle"/>
        <w:jc w:val="center"/>
      </w:pPr>
      <w:r w:rsidRPr="00D236BB">
        <w:t>НОРМЫ ПОЖАРНОЙ БЕЗОПАСНОСТИ</w:t>
      </w:r>
    </w:p>
    <w:p w:rsidR="006A00C3" w:rsidRPr="00D236BB" w:rsidRDefault="006A00C3">
      <w:pPr>
        <w:pStyle w:val="ConsPlusTitle"/>
        <w:jc w:val="center"/>
      </w:pPr>
    </w:p>
    <w:p w:rsidR="006A00C3" w:rsidRPr="00CA3933" w:rsidRDefault="00CA3933">
      <w:pPr>
        <w:pStyle w:val="ConsPlusTitle"/>
        <w:jc w:val="center"/>
      </w:pPr>
      <w:hyperlink r:id="rId6" w:history="1">
        <w:r w:rsidR="006A00C3" w:rsidRPr="00CA3933">
          <w:rPr>
            <w:rStyle w:val="a4"/>
            <w:color w:val="auto"/>
            <w:u w:val="none"/>
          </w:rPr>
          <w:t>ОГНЕЗАЩИТНЫЕ СОСТАВЫ ДЛЯ СТАЛЬНЫХ КОНСТРУКЦИЙ</w:t>
        </w:r>
      </w:hyperlink>
      <w:r w:rsidR="006A00C3" w:rsidRPr="00CA3933">
        <w:t>.</w:t>
      </w:r>
    </w:p>
    <w:p w:rsidR="006A00C3" w:rsidRPr="00D236BB" w:rsidRDefault="006A00C3">
      <w:pPr>
        <w:pStyle w:val="ConsPlusTitle"/>
        <w:jc w:val="center"/>
      </w:pPr>
      <w:r w:rsidRPr="00D236BB">
        <w:t>ОБЩИЕ ТРЕБОВАНИЯ.</w:t>
      </w:r>
    </w:p>
    <w:p w:rsidR="006A00C3" w:rsidRPr="00D236BB" w:rsidRDefault="006A00C3">
      <w:pPr>
        <w:pStyle w:val="ConsPlusTitle"/>
        <w:jc w:val="center"/>
      </w:pPr>
    </w:p>
    <w:p w:rsidR="006A00C3" w:rsidRPr="00D236BB" w:rsidRDefault="006A00C3">
      <w:pPr>
        <w:pStyle w:val="ConsPlusTitle"/>
        <w:jc w:val="center"/>
      </w:pPr>
      <w:r w:rsidRPr="00D236BB">
        <w:t>МЕТОД ОПРЕДЕЛЕНИЯ ОГНЕЗАЩИТНОЙ ЭФФЕКТИВНОСТИ</w:t>
      </w:r>
    </w:p>
    <w:p w:rsidR="006A00C3" w:rsidRPr="00D236BB" w:rsidRDefault="006A00C3">
      <w:pPr>
        <w:pStyle w:val="ConsPlusTitle"/>
        <w:jc w:val="center"/>
      </w:pPr>
    </w:p>
    <w:p w:rsidR="006A00C3" w:rsidRPr="00D236BB" w:rsidRDefault="006A00C3">
      <w:pPr>
        <w:pStyle w:val="ConsPlusTitle"/>
        <w:jc w:val="center"/>
      </w:pPr>
      <w:r w:rsidRPr="00D236BB">
        <w:t>FIRE RETARDANT COMPOSITIONS FOR STEEL CONSTRUCTIONS.</w:t>
      </w:r>
    </w:p>
    <w:p w:rsidR="006A00C3" w:rsidRPr="00D236BB" w:rsidRDefault="006A00C3">
      <w:pPr>
        <w:pStyle w:val="ConsPlusTitle"/>
        <w:jc w:val="center"/>
      </w:pPr>
      <w:bookmarkStart w:id="0" w:name="_GoBack"/>
      <w:bookmarkEnd w:id="0"/>
    </w:p>
    <w:p w:rsidR="006A00C3" w:rsidRPr="00D236BB" w:rsidRDefault="006A00C3">
      <w:pPr>
        <w:pStyle w:val="ConsPlusTitle"/>
        <w:jc w:val="center"/>
      </w:pPr>
      <w:proofErr w:type="spellStart"/>
      <w:r w:rsidRPr="00D236BB">
        <w:t>General</w:t>
      </w:r>
      <w:proofErr w:type="spellEnd"/>
      <w:r w:rsidRPr="00D236BB">
        <w:t xml:space="preserve"> </w:t>
      </w:r>
      <w:proofErr w:type="spellStart"/>
      <w:r w:rsidRPr="00D236BB">
        <w:t>requirement</w:t>
      </w:r>
      <w:proofErr w:type="spellEnd"/>
      <w:r w:rsidRPr="00D236BB">
        <w:t xml:space="preserve">. </w:t>
      </w:r>
      <w:proofErr w:type="spellStart"/>
      <w:r w:rsidRPr="00D236BB">
        <w:t>Method</w:t>
      </w:r>
      <w:proofErr w:type="spellEnd"/>
      <w:r w:rsidRPr="00D236BB">
        <w:t xml:space="preserve"> </w:t>
      </w:r>
      <w:proofErr w:type="spellStart"/>
      <w:r w:rsidRPr="00D236BB">
        <w:t>for</w:t>
      </w:r>
      <w:proofErr w:type="spellEnd"/>
      <w:r w:rsidRPr="00D236BB">
        <w:t xml:space="preserve"> </w:t>
      </w:r>
      <w:proofErr w:type="spellStart"/>
      <w:r w:rsidRPr="00D236BB">
        <w:t>determining</w:t>
      </w:r>
      <w:proofErr w:type="spellEnd"/>
      <w:r w:rsidRPr="00D236BB">
        <w:t xml:space="preserve"> </w:t>
      </w:r>
      <w:proofErr w:type="spellStart"/>
      <w:r w:rsidRPr="00D236BB">
        <w:t>fire</w:t>
      </w:r>
      <w:proofErr w:type="spellEnd"/>
    </w:p>
    <w:p w:rsidR="006A00C3" w:rsidRPr="00D236BB" w:rsidRDefault="006A00C3">
      <w:pPr>
        <w:pStyle w:val="ConsPlusTitle"/>
        <w:jc w:val="center"/>
      </w:pPr>
      <w:proofErr w:type="spellStart"/>
      <w:r w:rsidRPr="00D236BB">
        <w:t>retardant</w:t>
      </w:r>
      <w:proofErr w:type="spellEnd"/>
      <w:r w:rsidRPr="00D236BB">
        <w:t xml:space="preserve"> </w:t>
      </w:r>
      <w:proofErr w:type="spellStart"/>
      <w:r w:rsidRPr="00D236BB">
        <w:t>efficiency</w:t>
      </w:r>
      <w:proofErr w:type="spellEnd"/>
    </w:p>
    <w:p w:rsidR="006A00C3" w:rsidRPr="00D236BB" w:rsidRDefault="006A00C3">
      <w:pPr>
        <w:pStyle w:val="ConsPlusTitle"/>
        <w:jc w:val="center"/>
      </w:pPr>
    </w:p>
    <w:p w:rsidR="006A00C3" w:rsidRPr="00D236BB" w:rsidRDefault="006A00C3">
      <w:pPr>
        <w:pStyle w:val="ConsPlusTitle"/>
        <w:jc w:val="center"/>
      </w:pPr>
      <w:r w:rsidRPr="00D236BB">
        <w:t>НПБ 236-97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Разработаны Главным управлением Государственной противопожарной службы (ГУГПС) МВД России, Всероссийским научно-исследовательским институтом противопожарной обороны (ВНИИПО) МВД России.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proofErr w:type="gramStart"/>
      <w:r w:rsidRPr="00D236BB">
        <w:t>Внесены</w:t>
      </w:r>
      <w:proofErr w:type="gramEnd"/>
      <w:r w:rsidRPr="00D236BB">
        <w:t xml:space="preserve"> и подготовлены к утверждению нормативно-техническим отделом ГУГПС МВД России.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proofErr w:type="gramStart"/>
      <w:r w:rsidRPr="00D236BB">
        <w:t>Утверждены главным государственным инспектором Российской Федерации по пожарному надзору.</w:t>
      </w:r>
      <w:proofErr w:type="gramEnd"/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Согласованы с Минстроем России письмом </w:t>
      </w:r>
      <w:r w:rsidR="00D236BB" w:rsidRPr="00D236BB">
        <w:t>№</w:t>
      </w:r>
      <w:r w:rsidRPr="00D236BB">
        <w:t xml:space="preserve"> 13-246 от 28.04.97 г.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Введены в действие Приказом ГУГПС МВД России </w:t>
      </w:r>
      <w:r w:rsidR="00D236BB" w:rsidRPr="00D236BB">
        <w:t>№</w:t>
      </w:r>
      <w:r w:rsidRPr="00D236BB">
        <w:t xml:space="preserve"> 25 от 29.04.1997 г.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Дата введения в действие 01.06.1997 г.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Вводятся впервые.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1. ОБЛАСТЬ ПРИМЕНЕНИЯ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Настоящие нормы устанавливают общие требования к огнезащитным составам для стальных конструкций, а также метод определения их огнезащитной эффективности.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Нормы не распространяются на определение пределов огнестойкости конструкций с огнезащитой.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Соблюдение требований настоящих норм обязательно при разработке нормативно-технической документации на данные средства огнезащиты и при их сертификации.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2. НОРМАТИВНЫЕ ССЫЛКИ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В настоящих нормах использованы ссылки на следующие стандарты: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ГОСТ 30247.0-94. Конструкции строительные. Методы испытания на огнестойкость. Общие требования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ГОСТ 8239-89. </w:t>
      </w:r>
      <w:proofErr w:type="spellStart"/>
      <w:r w:rsidRPr="00D236BB">
        <w:t>Двутавры</w:t>
      </w:r>
      <w:proofErr w:type="spellEnd"/>
      <w:r w:rsidRPr="00D236BB">
        <w:t xml:space="preserve"> </w:t>
      </w:r>
      <w:proofErr w:type="gramStart"/>
      <w:r w:rsidRPr="00D236BB">
        <w:t>стальные</w:t>
      </w:r>
      <w:proofErr w:type="gramEnd"/>
      <w:r w:rsidRPr="00D236BB">
        <w:t xml:space="preserve"> горячекатаные. Сортамент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lastRenderedPageBreak/>
        <w:t xml:space="preserve">ГОСТ 26020-83. </w:t>
      </w:r>
      <w:proofErr w:type="spellStart"/>
      <w:r w:rsidRPr="00D236BB">
        <w:t>Двутавры</w:t>
      </w:r>
      <w:proofErr w:type="spellEnd"/>
      <w:r w:rsidRPr="00D236BB">
        <w:t xml:space="preserve"> </w:t>
      </w:r>
      <w:proofErr w:type="gramStart"/>
      <w:r w:rsidRPr="00D236BB">
        <w:t>стальные</w:t>
      </w:r>
      <w:proofErr w:type="gramEnd"/>
      <w:r w:rsidRPr="00D236BB">
        <w:t xml:space="preserve"> горячекатаные с параллельными гранями полок. Сортамент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СНиП 11-01-95. Инструкция о порядке разработки, согласования, утверждения и составе проектной документации на строительство предприятий, зданий и сооружений</w:t>
      </w:r>
    </w:p>
    <w:p w:rsidR="006A00C3" w:rsidRPr="00D236BB" w:rsidRDefault="006A00C3">
      <w:pPr>
        <w:spacing w:after="1"/>
      </w:pPr>
    </w:p>
    <w:p w:rsidR="00D236BB" w:rsidRPr="00D236BB" w:rsidRDefault="00D236BB" w:rsidP="00D236BB">
      <w:pPr>
        <w:pStyle w:val="ConsPlusNormal"/>
        <w:ind w:firstLine="567"/>
        <w:jc w:val="both"/>
        <w:rPr>
          <w:i/>
        </w:rPr>
      </w:pPr>
      <w:r w:rsidRPr="00D236BB">
        <w:rPr>
          <w:b/>
          <w:i/>
        </w:rPr>
        <w:t>Примечание</w:t>
      </w:r>
      <w:r w:rsidRPr="00D236BB">
        <w:rPr>
          <w:i/>
        </w:rPr>
        <w:t>.</w:t>
      </w:r>
      <w:r>
        <w:rPr>
          <w:i/>
        </w:rPr>
        <w:t xml:space="preserve"> </w:t>
      </w:r>
      <w:r w:rsidRPr="00D236BB">
        <w:rPr>
          <w:i/>
        </w:rPr>
        <w:t>Взамен ГОСТ 16523-89 Постановлением Госстандарта РФ от 04.04.1999 № 113 с 1 января 2000 года введен в действие ГОСТ 16523-97.</w:t>
      </w:r>
    </w:p>
    <w:p w:rsidR="006A00C3" w:rsidRPr="00D236BB" w:rsidRDefault="006A00C3">
      <w:pPr>
        <w:pStyle w:val="ConsPlusNormal"/>
        <w:spacing w:before="280"/>
        <w:ind w:firstLine="540"/>
        <w:jc w:val="both"/>
      </w:pPr>
      <w:r w:rsidRPr="00D236BB">
        <w:t>ГОСТ 16523-89. Прокат тонколистовой из углеродистой стали качественной и обыкновенного качества общего назначения. Технические условия.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3. ТЕРМИНЫ И ОПРЕДЕЛЕНИЯ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В настоящих нормах применяют следующие термины и определения: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Средство огнезащиты</w:t>
      </w:r>
      <w:r w:rsidRPr="00D236BB">
        <w:t xml:space="preserve"> - огнезащитный состав или материал, обладающий огнезащитной эффективностью и специально предназначенный для огнезащиты различных объектов.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Огнезащитный состав</w:t>
      </w:r>
      <w:r w:rsidRPr="00D236BB">
        <w:t xml:space="preserve"> - вещество или смесь веществ, </w:t>
      </w:r>
      <w:proofErr w:type="gramStart"/>
      <w:r w:rsidRPr="00D236BB">
        <w:t>обладающие</w:t>
      </w:r>
      <w:proofErr w:type="gramEnd"/>
      <w:r w:rsidRPr="00D236BB">
        <w:t xml:space="preserve"> огнезащитной эффективностью и специально предназначенные для огнезащиты различных объектов.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Объект огнезащиты</w:t>
      </w:r>
      <w:r w:rsidRPr="00D236BB">
        <w:t xml:space="preserve"> - материал, конструкция или изделие, подвергаемые обработке средством огнезащиты с целью снижения их пожарной опасности и (или) увеличения огнестойкости.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Огнезащитная обработка</w:t>
      </w:r>
      <w:r w:rsidRPr="00D236BB">
        <w:t xml:space="preserve"> - нанесение огнезащитного состава на поверхность объекта огнезащиты (окраска, обмазка, напыление и т.п.).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Конструктивные способы огнезащиты</w:t>
      </w:r>
      <w:r w:rsidRPr="00D236BB">
        <w:t xml:space="preserve"> - облицовка объекта огнезащиты материалами или иные конструктивные решения по его огнезащите.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Комбинированный способ</w:t>
      </w:r>
      <w:r w:rsidRPr="00D236BB">
        <w:t xml:space="preserve"> - сочетания различных способов огнезащитной обработки.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Огнезащитное покрытие</w:t>
      </w:r>
      <w:r w:rsidRPr="00D236BB">
        <w:t xml:space="preserve"> - слой огнезащитного состава, полученный в результате обработки поверхности объекта огнезащиты.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Огнезащитная эффективность</w:t>
      </w:r>
      <w:r w:rsidRPr="00D236BB">
        <w:t xml:space="preserve"> - сравнительный показатель средства огнезащиты, который характеризуется временем в минутах от начала огневого испытания до достижения критической температуры (500 °С) стандартного образца стальной конструкции с огнезащитным покрытием и определяется по методу, изложенному в разделе 6 настоящих норм.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Приведенная толщина металла</w:t>
      </w:r>
      <w:r w:rsidRPr="00D236BB">
        <w:t xml:space="preserve"> - отношение площади поперечного сечения металлической конструкции к обогреваемой части ее периметра.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Гарантийный срок хранения (годности)</w:t>
      </w:r>
      <w:r w:rsidRPr="00D236BB">
        <w:t xml:space="preserve"> - время, в течение которого огнезащитный состав (отдельные его составляющие) может быть использован для огнезащитной обработки конструкции без снижения его огнезащитной эффективности и гарантийного срока эксплуатации.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rPr>
          <w:b/>
          <w:i/>
        </w:rPr>
        <w:t>Гарантийный срок эксплуатации</w:t>
      </w:r>
      <w:r w:rsidRPr="00D236BB">
        <w:t xml:space="preserve"> - время, в течение которого гарантируется заданная огнезащитная эффективность покрытия, эксплуатируемого в соответствии с технической документацией.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4. ОБЩИЕ ТРЕБОВАНИЯ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 xml:space="preserve">4.1. Огнезащитные составы должны быть утверждены и согласованы в установленном </w:t>
      </w:r>
      <w:r w:rsidRPr="00D236BB">
        <w:lastRenderedPageBreak/>
        <w:t>порядке, должны иметь техническую документацию на их производство и применение, а также сертификат пожарной безопасности.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4.2. Техническая документация должна содержать следующие показатели и характеристики огнезащитных составов: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группу огнезащитной эффективности;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расход для определенной группы огнезащитной эффективности;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внешний вид;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сведения по технологии нанесения: способы подготовки поверхности, виды и марки грунтов, адгезия, количество слоев, условия сушки;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гарантийный срок и условия хранения состава;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мероприятия по технике безопасности и пожарной безопасности при хранении составов и производстве работ.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 случае необходимости в технической документации следует указывать сведения по видам и маркам лакокрасочных составов, допустимым для нанесения поверх огнезащитного слоя в целях его защиты от воздействий внешней среды или придания покрытию декоративных свойств.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Кроме того, в технической документации должны быть указаны следующие сведения об огнезащитном покрытии: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толщина для определенной группы огнезащитной эффективности;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условия эксплуатации (предельные значения влажности, температуры окружающей среды и т.п.);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внешний вид;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объемная масса;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гарантийный срок эксплуатации;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возможность и периодичность замены или восстановления покрытия в зависимости от условий эксплуатации.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Производство и поставка огнезащитных составов, проектирование и производство работ по огнезащите конструкций должны осуществляться организациями, имеющими лицензию на данный вид деятельности.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Применение средств огнезащиты должно осуществляться в соответствии с технической документацией и проектом, разработанным, согласованным и утвержденным в порядке, установленном СНиП 11-01.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Группа огнезащитной эффективности огнезащитных составов определяется в соответствии с п. 6.5.3 настоящих норм.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Испытания по определению огнезащитной эффективности должны проводиться в специализированной организации, имеющей соответствующую аккредитацию.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Одновременно с испытаниями по определению огнезащитной эффективности проводятся контрольные испытания в соответствии с разделом 7 настоящих норм.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lastRenderedPageBreak/>
        <w:t>Огнезащитные покрытия должны иметь возможность восстановления после гарантийного срока эксплуатации.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Не допускается применение огнезащитных покрытий на объектах защиты, расположенных в местах, исключающих возможность замены или восстановления (реставрации) покрытия.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При применении огнезащитных составов с защитой поверхности покрытия лакокрасочными составами огнезащитные характеристики следует определять с учетом поверхностного слоя.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Показатели и характеристики огнезащитных составов и покрытий, за исключением группы огнезащитной эффективности, определяются разработчиком технической документации, за которые он несет установленную законодательством ответственность.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При научно-техническом обосновании по инициативе заказчика могут быть проведены испытания по расширенной программе, целью которых будет являться построение обобщенной зависимости огнезащитной эффективности конкретного средства огнезащиты от приведенной толщины металла и толщины огнезащитного покрытия.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Упаковка, условия хранения и транспортирования огнезащитных составов должны обеспечивать их огнезащитные свойства в течение установленного срока годности.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Не допускается применение огнезащитных составов на неподготовленных (или подготовленных с нарушениями требований технической документации на эти составы) поверхностях объектов защиты.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5. СЕРТИФИКАЦИЯ ОГНЕЗАЩИТНЫХ ПОКРЫТИЙ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5.1. Для получения сертификата пожарной безопасности заказчик должен представить в орган сертификации: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разработанную и утвержденную в установленном порядке техническую документацию на огнезащитный состав;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протоколы испытаний, подтверждающие огнезащитную эффективность состава.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5.2. В сертификате пожарной безопасности на огнезащитный состав кроме общих сведений, установленных бланком сертификата, должны быть отражены следующие специальные показатели и характеристики: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название огнезащитного состава;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группа огнезащитной эффективности;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виды, марки, толщины слоев грунтовых, декоративных или атмосфероустойчивых лакокрасочных покрытий, используемых в комбинации с указанным средством огнезащиты при сертификационных испытаниях;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толщина огнезащитного покрытия и расход огнезащитного состава для установленной группы огнезащитной эффективности.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6. МЕТОД ОПРЕДЕЛЕНИЯ ОГНЕЗАЩИТНОЙ ЭФФЕКТИВНОСТИ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6.1. Сущность метода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 xml:space="preserve">Сущность метода заключается в определении, в соответствии с настоящими нормами, огнезащитной эффективности покрытия при тепловом воздействии на опытный образец и </w:t>
      </w:r>
      <w:r w:rsidRPr="00D236BB">
        <w:lastRenderedPageBreak/>
        <w:t>определении времени от начала теплового воздействия до наступления предельного состояния этого образца.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6.2. Оборудование для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6.2.1. Оборудование включает в себя: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установку для огневых испытаний малогабаритных образцов стержневых конструкций;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приспособления для установки образца;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систему измерения и регистрации параметров, включая оборудование для проведения кино-, фото- или видеосъемок.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6.2.2. Основные размеры и схема установки приведены на рис. 1 Приложения 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6.2.3. Требования к системе подачи и сжигания топлива, системам измерения и регистрации параметров, температурному режиму в установке - по ГОСТ 30247.0.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6.3. Образцы для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6.3.1. Для проведения испытаний изготавливаются два одинаковых образца.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6.3.2. В качестве образцов, на которые наносится огнезащитный состав, должны использоваться стальные колонны двутаврового сечения профиля </w:t>
      </w:r>
      <w:r w:rsidR="00D236BB" w:rsidRPr="00D236BB">
        <w:t>№</w:t>
      </w:r>
      <w:r w:rsidRPr="00D236BB">
        <w:t xml:space="preserve"> 20 по ГОСТ 8239 или профиля </w:t>
      </w:r>
      <w:r w:rsidR="00D236BB" w:rsidRPr="00D236BB">
        <w:t>№</w:t>
      </w:r>
      <w:r w:rsidRPr="00D236BB">
        <w:t xml:space="preserve"> 20Б1 по ГОСТ 26020. Высота образца (1700 +/- 10) мм. Приведенная толщина металла стальной колонны определяется непосредственно перед каждым испытанием.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6.3.3. Огнезащитные составы наносятся на образцы в соответствии с технической документацией (зачистка поверхности стальных образцов, тип грунтовки, количество и толщина наносимого слоя и т.д.) в присутствии специалистов, проводящих испытания.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Примечание. Перед нанесением огнезащитного состава должна быть проведена его идентификация. Экспериментальная идентификация огнезащитного состава проводится с помощью аппаратуры термического анализа.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6.3.4. Влажность покрытия должна быть динамически уравновешенной с окружающей средой с относительной влажностью (60 +/- 15)% при температуре (20 +/- 10) °С.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6.3.5. При проведении сертификационных испытаний отбор образцов должен производиться в соответствии с требованиями по порядку сертификации.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6.4. Подготовка и проведение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bookmarkStart w:id="1" w:name="P128"/>
      <w:bookmarkEnd w:id="1"/>
      <w:r w:rsidRPr="00D236BB">
        <w:t>6.4.1. Условия проведения испытаний - по ГОСТ 30247.0.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6.4.2. Подготовка к проведению испытаний включает расстановку термоэлектрических преобразователей (ТЭП) в печи и на образце, проверку и отладку систем подачи и сжигания топлива, приборов, установку опытного образца в печи.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6.4.3. Перед испытаниями необходимо произвести контрольные измерения фактических толщин огнезащитных покрытий. Измерение толщины покрытия проводится не менее чем в десяти точках по периметру обогреваемой поверхности </w:t>
      </w:r>
      <w:proofErr w:type="spellStart"/>
      <w:r w:rsidRPr="00D236BB">
        <w:t>двутавра</w:t>
      </w:r>
      <w:proofErr w:type="spellEnd"/>
      <w:r w:rsidRPr="00D236BB">
        <w:t xml:space="preserve">, с шагом не более 500 мм по высоте образца. За результат принимается среднее арифметическое значение всех измерений. При этом среднее </w:t>
      </w:r>
      <w:proofErr w:type="spellStart"/>
      <w:r w:rsidRPr="00D236BB">
        <w:t>квадратическое</w:t>
      </w:r>
      <w:proofErr w:type="spellEnd"/>
      <w:r w:rsidRPr="00D236BB">
        <w:t xml:space="preserve"> отклонение </w:t>
      </w:r>
      <w:r w:rsidR="00CA3933" w:rsidRPr="00D236BB">
        <w:rPr>
          <w:position w:val="-11"/>
        </w:rPr>
        <w:pict>
          <v:shape id="_x0000_i1025" style="width:32.25pt;height:22.45pt" coordsize="" o:spt="100" adj="0,,0" path="" filled="f" stroked="f">
            <v:stroke joinstyle="miter"/>
            <v:imagedata r:id="rId7" o:title="base_44_925_32768"/>
            <v:formulas/>
            <v:path o:connecttype="segments"/>
          </v:shape>
        </w:pict>
      </w:r>
      <w:r w:rsidRPr="00D236BB">
        <w:t xml:space="preserve"> должно составлять не более 10% от </w:t>
      </w:r>
      <w:r w:rsidRPr="00D236BB">
        <w:lastRenderedPageBreak/>
        <w:t>результата измерений.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Оценка и пример вычисления среднего </w:t>
      </w:r>
      <w:proofErr w:type="spellStart"/>
      <w:r w:rsidRPr="00D236BB">
        <w:t>квадратического</w:t>
      </w:r>
      <w:proofErr w:type="spellEnd"/>
      <w:r w:rsidRPr="00D236BB">
        <w:t xml:space="preserve"> отклонения результата измерений даны в Приложении Б.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Точность измерения при толщине покрытий: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до 10 мм - 0,01 мм;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до 20 мм - 0,05 мм: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до 50 мм - 0,5 мм.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6.4.4. Температура стального образца измеряется с помощью ТЭП из провода диаметром не более 0,75 мм. ТЭП на образце устанавливаются методом </w:t>
      </w:r>
      <w:proofErr w:type="spellStart"/>
      <w:r w:rsidRPr="00D236BB">
        <w:t>зачеканивания</w:t>
      </w:r>
      <w:proofErr w:type="spellEnd"/>
      <w:r w:rsidRPr="00D236BB">
        <w:t xml:space="preserve"> в количестве трех штук: в среднем сечении образца на стенку </w:t>
      </w:r>
      <w:proofErr w:type="spellStart"/>
      <w:r w:rsidRPr="00D236BB">
        <w:t>двутавра</w:t>
      </w:r>
      <w:proofErr w:type="spellEnd"/>
      <w:r w:rsidRPr="00D236BB">
        <w:t xml:space="preserve"> и на внутренние поверхности полок </w:t>
      </w:r>
      <w:proofErr w:type="spellStart"/>
      <w:r w:rsidRPr="00D236BB">
        <w:t>двутавра</w:t>
      </w:r>
      <w:proofErr w:type="spellEnd"/>
      <w:r w:rsidRPr="00D236BB">
        <w:t>. Схема расстановки ТЭП представлена на рис. 2 Приложения 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6.4.5. Температура металла испытываемого образца определяется как среднее арифметическое значение показаний ТЭП, расположенных в установленных местах.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6.4.6. В процессе проведения испытаний регистрируются следующие показатели: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время наступления предельного состояния;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изменение температуры в печи в соответствии с п. 6.4.1 настоящих норм;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поведение огнезащитного покрытия (вспучивание, обугливание, отслоение, выделение дыма, продуктов горения и т.д.);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изменение температуры металла опытного образца.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6.4.7. Испытания проводятся без статической нагрузки при четырехстороннем тепловом воздействии до наступления предельного состояния опытного образца.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6.4.8. За предельное состояние принимается достижение критической температуры стали опытных образцов, равной 500</w:t>
      </w:r>
      <w:proofErr w:type="gramStart"/>
      <w:r w:rsidRPr="00D236BB">
        <w:t xml:space="preserve"> °С</w:t>
      </w:r>
      <w:proofErr w:type="gramEnd"/>
      <w:r w:rsidRPr="00D236BB">
        <w:t xml:space="preserve"> (средняя по трем ТЭП).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6.5. Оценка результатов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6.5.1. За результат одного испытания принимается время (в минутах) достижения предельного состояния опытного образца.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6.5.2. Огнезащитная эффективность покрытия для стальных конструкций определяется как среднее арифметическое значение результатов испытаний двух образцов. При этом максимальные и минимальные значения результатов испытаний образцов не должны отличаться друг от друга более чем на 20% (от большего значения). Если значения результатов испытаний отличаются друг от друга более чем на 20%, должно быть проведено дополнительное испытание, а огнезащитная эффективность определяется как среднее арифметическое двух меньших значений.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bookmarkStart w:id="2" w:name="P150"/>
      <w:bookmarkEnd w:id="2"/>
      <w:r w:rsidRPr="00D236BB">
        <w:t>6.5.3. Огнезащитная эффективность составов подразделяется на 5 групп: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1-я - не менее 150 мин;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2-я - не менее 120 мин;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lastRenderedPageBreak/>
        <w:t>3-я - не менее 60 мин;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4-я - не менее 45 мин;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5-я - не менее 30 мин.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При определении группы огнезащитной эффективности составов не рассматриваются результаты испытаний с показателями менее 30 мин.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bookmarkStart w:id="3" w:name="P158"/>
      <w:bookmarkEnd w:id="3"/>
      <w:r w:rsidRPr="00D236BB">
        <w:rPr>
          <w:b/>
        </w:rPr>
        <w:t>7. КОНТРОЛЬНЫЙ МЕТОД ИСПЫТАНИЯ ОГНЕЗАЩИТНЫХ СОСТАВОВ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7.1. Сущность метода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7.1.1. Контрольный метод испытания огнезащитных составов используется при контроле огнезащитной эффективности огнезащитных составов при их производстве, а также при поставках крупных партий огнезащитных покрытий (из расчета требуемой массы огнезащитного покрытия на 1000 м</w:t>
      </w:r>
      <w:proofErr w:type="gramStart"/>
      <w:r w:rsidRPr="00D236BB">
        <w:t>2</w:t>
      </w:r>
      <w:proofErr w:type="gramEnd"/>
      <w:r w:rsidRPr="00D236BB">
        <w:t xml:space="preserve"> поверхности металлоконструкции и более).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7.1.2. Сущность метода заключается в тепловом воздействии на опытный образец и определении времени от начала теплового воздействия до наступления предельного состояния опытного образца.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7.2. Образцы для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7.2.1. Для проведения испытаний изготавливается один образец.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7.2.2. В качестве образца используется стальная пластина размером 600 х 600 х 5 мм, с нанесенным на нее огнезащитным составом. Допустимые отклонения по ширине и длине стальной пластины не должны превышать +/- 5 мм, а по толщине - +/- 0,5 мм.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7.2.3. Необогреваемая поверхность опытного образца должна быть </w:t>
      </w:r>
      <w:proofErr w:type="spellStart"/>
      <w:r w:rsidRPr="00D236BB">
        <w:t>теплоизолирована</w:t>
      </w:r>
      <w:proofErr w:type="spellEnd"/>
      <w:r w:rsidRPr="00D236BB">
        <w:t xml:space="preserve"> материалом с величиной термического сопротивления не менее 1,9 м2 х</w:t>
      </w:r>
      <w:proofErr w:type="gramStart"/>
      <w:r w:rsidRPr="00D236BB">
        <w:t xml:space="preserve"> °С</w:t>
      </w:r>
      <w:proofErr w:type="gramEnd"/>
      <w:r w:rsidRPr="00D236BB">
        <w:t>/Вт и толщиной не менее 100 мм.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7.2.4. </w:t>
      </w:r>
      <w:proofErr w:type="gramStart"/>
      <w:r w:rsidRPr="00D236BB">
        <w:t>Состав, толщина и технология нанесения огнезащитного состава, а именно: способ нанесения (механизированный способ или вручную), качество стальной поверхности, на которую наносится покрытие (неокрашенная очищенная поверхность или поверхность, загрунтованная лакокрасочными покрытиями), должны быть идентичными составу, толщине и технологии нанесения, применявшимся при испытаниях по оценке огнезащитной эффективности покрытий для несущих стальных конструкций.</w:t>
      </w:r>
      <w:proofErr w:type="gramEnd"/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7.3. Проведение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7.3.1. Условия проведения испытаний - по ГОСТ 30247.0.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7.3.2. Испытания проводятся на установке для теплофизических исследований и испытаний малогабаритных фрагментов плоских конструкций и отдельных узлов их стыковых сопряжений и закреплений. Основные размеры и схема установки приведены на рис. 3 обязательного Приложения 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7.3.3. Требования к испытательному оборудованию и средствам измерений, температурный режим - по ГОСТ 30247.0.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7.3.4. Температура на поверхности стальных образцов измеряется с помощью ТЭП из провода диаметром не более 0,75 мм, которые устанавливаются методом </w:t>
      </w:r>
      <w:proofErr w:type="spellStart"/>
      <w:r w:rsidRPr="00D236BB">
        <w:t>зачеканивания</w:t>
      </w:r>
      <w:proofErr w:type="spellEnd"/>
      <w:r w:rsidRPr="00D236BB">
        <w:t xml:space="preserve"> на необогреваемую поверхность образцов в количестве трех штук. Один из ТЭП устанавливается в </w:t>
      </w:r>
      <w:r w:rsidRPr="00D236BB">
        <w:lastRenderedPageBreak/>
        <w:t>центре образца, а два других - по диагонали на расстоянии (200 +/- 5) мм от центра.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7.3.5. Температура металла испытываемого образца определяется как среднее арифметическое значение показаний ТЭП, расположенных в установленных местах.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7.3.6. В процессе проведения испытаний регистрируются следующие показатели: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время наступления предельного состояния;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изменение температуры в печи;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поведение огнезащитного покрытия (вспучивание, обугливание, отслоение, выделение дыма, продуктов горения и т.д.);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изменение температуры на необогреваемой поверхности опытного образца.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7.3.7. Испытания проводятся до наступления предельного состояния опытного образца.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7.3.8. За предельное состояние принимается время достижения температуры 500</w:t>
      </w:r>
      <w:proofErr w:type="gramStart"/>
      <w:r w:rsidRPr="00D236BB">
        <w:t xml:space="preserve"> °С</w:t>
      </w:r>
      <w:proofErr w:type="gramEnd"/>
      <w:r w:rsidRPr="00D236BB">
        <w:t xml:space="preserve"> стали опытных образцов (средняя температура по трем ТЭП).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7.4. Оценка результатов испытаний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7.4.1. За результат принимается время достижения предельного состояния.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7.4.2. Результаты последующих испытаний не должны отличаться от результатов испытаний контрольного образца более чем на 20% в сторону уменьшения времени достижения предельного состояния.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2"/>
        <w:rPr>
          <w:b/>
          <w:i/>
        </w:rPr>
      </w:pPr>
      <w:r w:rsidRPr="00D236BB">
        <w:rPr>
          <w:b/>
          <w:i/>
        </w:rPr>
        <w:t>7.5. Протокол испытания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7.5.1. Результаты испытаний оформляются в виде протокола, который является приложением к отчету об испытаниях по оценке огнезащитной эффективности огнезащитного состава для несущих стальных конструкций.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7.5.2. Протокол должен содержать: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наименование организации, проводящей испытания;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наименование организации-заказчика;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дату изготовления огнезащитного состава;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способ нанесения и толщину покрытия;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наименование огнезащитного состава, сведения об изготовителе, товарный знак и маркировку огнезащитного состава с указанием технической документации;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дату проведения испытаний;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наименование нормативного документа на методы проведения испытаний;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визуальные наблюдения при испытании;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эскизы и описание испытанных образцов, данные о контрольных измерениях состояния образцов, эксплуатационных свойствах покрытий и перечень отклонений, допущенных при изготовлении образца, от технических документов на конструкцию;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lastRenderedPageBreak/>
        <w:t>запись контролируемых параметров, результаты их обработки и оценку;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видео- или фотоматериалы;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заключение о группе огнезащитной эффективности покрытия;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срок действия протокола.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outlineLvl w:val="1"/>
        <w:rPr>
          <w:b/>
        </w:rPr>
      </w:pPr>
      <w:r w:rsidRPr="00D236BB">
        <w:rPr>
          <w:b/>
        </w:rPr>
        <w:t>8. ТЕХНИКА БЕЗОПАСНОСТИ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По ГОСТ 30247.0.</w:t>
      </w:r>
    </w:p>
    <w:p w:rsidR="00D236BB" w:rsidRDefault="00D236B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A00C3" w:rsidRPr="00D236BB" w:rsidRDefault="006A00C3">
      <w:pPr>
        <w:pStyle w:val="ConsPlusNormal"/>
        <w:jc w:val="right"/>
        <w:outlineLvl w:val="0"/>
      </w:pPr>
      <w:r w:rsidRPr="00D236BB">
        <w:lastRenderedPageBreak/>
        <w:t>Приложение</w:t>
      </w:r>
      <w:proofErr w:type="gramStart"/>
      <w:r w:rsidRPr="00D236BB">
        <w:t xml:space="preserve"> А</w:t>
      </w:r>
      <w:proofErr w:type="gramEnd"/>
    </w:p>
    <w:p w:rsidR="006A00C3" w:rsidRPr="00D236BB" w:rsidRDefault="006A00C3">
      <w:pPr>
        <w:pStyle w:val="ConsPlusNormal"/>
        <w:jc w:val="right"/>
      </w:pPr>
      <w:r w:rsidRPr="00D236BB">
        <w:t>Обязательное</w:t>
      </w:r>
    </w:p>
    <w:p w:rsidR="006A00C3" w:rsidRPr="00D236BB" w:rsidRDefault="006A00C3">
      <w:pPr>
        <w:pStyle w:val="ConsPlusNormal"/>
      </w:pPr>
    </w:p>
    <w:p w:rsidR="006A00C3" w:rsidRPr="00D236BB" w:rsidRDefault="00D236BB">
      <w:pPr>
        <w:pStyle w:val="ConsPlusNormal"/>
        <w:jc w:val="center"/>
      </w:pPr>
      <w:r w:rsidRPr="00D236BB">
        <w:rPr>
          <w:position w:val="-288"/>
        </w:rPr>
        <w:pict>
          <v:shape id="_x0000_i1026" style="width:467.7pt;height:299.5pt" coordsize="" o:spt="100" adj="0,,0" path="" filled="f" stroked="f">
            <v:stroke joinstyle="miter"/>
            <v:imagedata r:id="rId8" o:title="base_44_925_32769"/>
            <v:formulas/>
            <v:path o:connecttype="segments"/>
          </v:shape>
        </w:pic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</w:pPr>
      <w:bookmarkStart w:id="4" w:name="P223"/>
      <w:bookmarkEnd w:id="4"/>
      <w:r w:rsidRPr="00D236BB">
        <w:t>Рис. 1. Установка для огневых испытаний малогабаритных</w:t>
      </w:r>
      <w:r w:rsidR="00D236BB">
        <w:t xml:space="preserve"> </w:t>
      </w:r>
      <w:r w:rsidRPr="00D236BB">
        <w:t>образцов стержневых конструкций:</w:t>
      </w:r>
    </w:p>
    <w:p w:rsidR="006A00C3" w:rsidRPr="00D236BB" w:rsidRDefault="006A00C3">
      <w:pPr>
        <w:pStyle w:val="ConsPlusNormal"/>
        <w:jc w:val="center"/>
      </w:pPr>
      <w:r w:rsidRPr="00D236BB">
        <w:t xml:space="preserve">1 </w:t>
      </w:r>
      <w:r w:rsidR="00D236BB">
        <w:t>–</w:t>
      </w:r>
      <w:r w:rsidRPr="00D236BB">
        <w:t xml:space="preserve"> огневая камера; 2 </w:t>
      </w:r>
      <w:r w:rsidR="00D236BB">
        <w:t>–</w:t>
      </w:r>
      <w:r w:rsidRPr="00D236BB">
        <w:t xml:space="preserve"> кладка печи; 3 </w:t>
      </w:r>
      <w:r w:rsidR="00D236BB">
        <w:t>–</w:t>
      </w:r>
      <w:r w:rsidRPr="00D236BB">
        <w:t xml:space="preserve"> нагревательный канал</w:t>
      </w:r>
      <w:r w:rsidR="00D236BB">
        <w:t xml:space="preserve"> </w:t>
      </w:r>
      <w:r w:rsidRPr="00D236BB">
        <w:t xml:space="preserve">форсунки; 4 </w:t>
      </w:r>
      <w:r w:rsidR="00D236BB">
        <w:t>–</w:t>
      </w:r>
      <w:r w:rsidRPr="00D236BB">
        <w:t xml:space="preserve"> форсунка; 5 </w:t>
      </w:r>
      <w:r w:rsidR="00D236BB">
        <w:t>–</w:t>
      </w:r>
      <w:r w:rsidRPr="00D236BB">
        <w:t xml:space="preserve"> дымовой канал; 6 </w:t>
      </w:r>
      <w:r w:rsidR="00D236BB">
        <w:t>–</w:t>
      </w:r>
      <w:r w:rsidRPr="00D236BB">
        <w:t xml:space="preserve"> вытяжной зонт;</w:t>
      </w:r>
      <w:r w:rsidR="00D236BB">
        <w:t xml:space="preserve"> </w:t>
      </w:r>
      <w:r w:rsidRPr="00D236BB">
        <w:t xml:space="preserve">7 </w:t>
      </w:r>
      <w:r w:rsidR="00D236BB">
        <w:t>–</w:t>
      </w:r>
      <w:r w:rsidRPr="00D236BB">
        <w:t xml:space="preserve"> свод  печи; 8 </w:t>
      </w:r>
      <w:r w:rsidR="00D236BB">
        <w:t>–</w:t>
      </w:r>
      <w:r w:rsidRPr="00D236BB">
        <w:t xml:space="preserve"> испытуемый образец; 9 </w:t>
      </w:r>
      <w:r w:rsidR="00D236BB">
        <w:t>–</w:t>
      </w:r>
      <w:r w:rsidRPr="00D236BB">
        <w:t xml:space="preserve"> воздуховод;</w:t>
      </w:r>
      <w:r w:rsidR="00D236BB">
        <w:t xml:space="preserve"> </w:t>
      </w:r>
      <w:r w:rsidRPr="00D236BB">
        <w:t xml:space="preserve">10 </w:t>
      </w:r>
      <w:r w:rsidR="00D236BB">
        <w:t>–</w:t>
      </w:r>
      <w:r w:rsidRPr="00D236BB">
        <w:t xml:space="preserve"> термопара; 11 </w:t>
      </w:r>
      <w:r w:rsidR="00D236BB">
        <w:t>–</w:t>
      </w:r>
      <w:r w:rsidRPr="00D236BB">
        <w:t xml:space="preserve"> смотровой люк</w:t>
      </w:r>
    </w:p>
    <w:p w:rsidR="006A00C3" w:rsidRPr="00D236BB" w:rsidRDefault="006A00C3">
      <w:pPr>
        <w:pStyle w:val="ConsPlusNormal"/>
      </w:pPr>
    </w:p>
    <w:p w:rsidR="006A00C3" w:rsidRPr="00D236BB" w:rsidRDefault="00D236BB">
      <w:pPr>
        <w:pStyle w:val="ConsPlusNormal"/>
        <w:jc w:val="center"/>
      </w:pPr>
      <w:r w:rsidRPr="00D236BB">
        <w:rPr>
          <w:position w:val="-211"/>
        </w:rPr>
        <w:pict>
          <v:shape id="_x0000_i1027" style="width:222.35pt;height:222.35pt" coordsize="" o:spt="100" adj="0,,0" path="" filled="f" stroked="f">
            <v:stroke joinstyle="miter"/>
            <v:imagedata r:id="rId9" o:title="base_44_925_32770"/>
            <v:formulas/>
            <v:path o:connecttype="segments"/>
          </v:shape>
        </w:pic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</w:pPr>
      <w:bookmarkStart w:id="5" w:name="P232"/>
      <w:bookmarkEnd w:id="5"/>
      <w:r w:rsidRPr="00D236BB">
        <w:t>Рис. 2. Схема расстановки термоэлектрических</w:t>
      </w:r>
      <w:r w:rsidR="00D236BB">
        <w:t xml:space="preserve"> </w:t>
      </w:r>
      <w:r w:rsidRPr="00D236BB">
        <w:t>преобразователей в среднем сечении на поверхности</w:t>
      </w:r>
      <w:r w:rsidR="00D236BB">
        <w:t xml:space="preserve"> </w:t>
      </w:r>
      <w:r w:rsidRPr="00D236BB">
        <w:t>опытного образца:</w:t>
      </w:r>
    </w:p>
    <w:p w:rsidR="006A00C3" w:rsidRPr="00D236BB" w:rsidRDefault="006A00C3">
      <w:pPr>
        <w:pStyle w:val="ConsPlusNormal"/>
        <w:jc w:val="center"/>
      </w:pPr>
      <w:r w:rsidRPr="00D236BB">
        <w:t xml:space="preserve">1 </w:t>
      </w:r>
      <w:r w:rsidR="00D236BB">
        <w:t>–</w:t>
      </w:r>
      <w:r w:rsidRPr="00D236BB">
        <w:t xml:space="preserve"> </w:t>
      </w:r>
      <w:proofErr w:type="spellStart"/>
      <w:r w:rsidRPr="00D236BB">
        <w:t>двутавр</w:t>
      </w:r>
      <w:proofErr w:type="spellEnd"/>
      <w:r w:rsidRPr="00D236BB">
        <w:t xml:space="preserve">  </w:t>
      </w:r>
      <w:r w:rsidR="00D236BB" w:rsidRPr="00D236BB">
        <w:t>№</w:t>
      </w:r>
      <w:r w:rsidRPr="00D236BB">
        <w:t xml:space="preserve"> 20; 2 </w:t>
      </w:r>
      <w:r w:rsidR="00D236BB">
        <w:t>–</w:t>
      </w:r>
      <w:r w:rsidRPr="00D236BB">
        <w:t xml:space="preserve"> огнезащитное покрытие;</w:t>
      </w:r>
      <w:r w:rsidR="00D236BB">
        <w:t xml:space="preserve"> </w:t>
      </w:r>
      <w:r w:rsidRPr="00D236BB">
        <w:t xml:space="preserve">3 </w:t>
      </w:r>
      <w:r w:rsidR="00D236BB">
        <w:t>–</w:t>
      </w:r>
      <w:r w:rsidRPr="00D236BB">
        <w:t xml:space="preserve"> термоэлектрические преобразователи.</w:t>
      </w:r>
    </w:p>
    <w:p w:rsidR="006A00C3" w:rsidRPr="00D236BB" w:rsidRDefault="006A00C3">
      <w:pPr>
        <w:pStyle w:val="ConsPlusNormal"/>
      </w:pPr>
    </w:p>
    <w:p w:rsidR="006A00C3" w:rsidRPr="00D236BB" w:rsidRDefault="00D236BB">
      <w:pPr>
        <w:pStyle w:val="ConsPlusNormal"/>
        <w:jc w:val="center"/>
      </w:pPr>
      <w:r w:rsidRPr="00D236BB">
        <w:rPr>
          <w:position w:val="-257"/>
        </w:rPr>
        <w:lastRenderedPageBreak/>
        <w:pict>
          <v:shape id="_x0000_i1028" style="width:467.7pt;height:268.4pt" coordsize="" o:spt="100" adj="0,,0" path="" filled="f" stroked="f">
            <v:stroke joinstyle="miter"/>
            <v:imagedata r:id="rId10" o:title="base_44_925_32771"/>
            <v:formulas/>
            <v:path o:connecttype="segments"/>
          </v:shape>
        </w:pic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</w:pPr>
      <w:bookmarkStart w:id="6" w:name="P240"/>
      <w:bookmarkEnd w:id="6"/>
      <w:r w:rsidRPr="00D236BB">
        <w:t>Рис. 3. Установка для теплофизических исследований и</w:t>
      </w:r>
      <w:r w:rsidR="00D236BB">
        <w:t xml:space="preserve"> </w:t>
      </w:r>
      <w:r w:rsidRPr="00D236BB">
        <w:t>испытаний малогабаритных фрагментов плоских конструкций и</w:t>
      </w:r>
      <w:r w:rsidR="00D236BB">
        <w:t xml:space="preserve"> </w:t>
      </w:r>
      <w:r w:rsidRPr="00D236BB">
        <w:t>отдельных узлов их стыковых сопряжений и закреплений:</w:t>
      </w:r>
    </w:p>
    <w:p w:rsidR="006A00C3" w:rsidRPr="00D236BB" w:rsidRDefault="006A00C3">
      <w:pPr>
        <w:pStyle w:val="ConsPlusNormal"/>
        <w:jc w:val="center"/>
      </w:pPr>
      <w:r w:rsidRPr="00D236BB">
        <w:t xml:space="preserve">1 </w:t>
      </w:r>
      <w:r w:rsidR="00D236BB">
        <w:t>–</w:t>
      </w:r>
      <w:r w:rsidRPr="00D236BB">
        <w:t xml:space="preserve"> дымовой канал; 2 </w:t>
      </w:r>
      <w:r w:rsidR="00D236BB">
        <w:t>–</w:t>
      </w:r>
      <w:r w:rsidRPr="00D236BB">
        <w:t xml:space="preserve"> кладка печи; 3 </w:t>
      </w:r>
      <w:r w:rsidR="00D236BB">
        <w:t>–</w:t>
      </w:r>
      <w:r w:rsidRPr="00D236BB">
        <w:t xml:space="preserve"> огневая камера;</w:t>
      </w:r>
      <w:r w:rsidR="00D236BB">
        <w:t xml:space="preserve"> </w:t>
      </w:r>
      <w:r w:rsidRPr="00D236BB">
        <w:t xml:space="preserve">4 </w:t>
      </w:r>
      <w:r w:rsidR="00D236BB">
        <w:t>–</w:t>
      </w:r>
      <w:r w:rsidRPr="00D236BB">
        <w:t xml:space="preserve"> разборная часть кладки; 5 </w:t>
      </w:r>
      <w:r w:rsidR="00D236BB">
        <w:t>–</w:t>
      </w:r>
      <w:r w:rsidRPr="00D236BB">
        <w:t xml:space="preserve"> ТЭП;</w:t>
      </w:r>
      <w:r w:rsidR="00D236BB">
        <w:t xml:space="preserve"> </w:t>
      </w:r>
      <w:r w:rsidRPr="00D236BB">
        <w:t xml:space="preserve">6 </w:t>
      </w:r>
      <w:r w:rsidR="00D236BB">
        <w:t>–</w:t>
      </w:r>
      <w:r w:rsidRPr="00D236BB">
        <w:t xml:space="preserve"> нагревательный канал форсунки; 7 </w:t>
      </w:r>
      <w:r w:rsidR="00D236BB">
        <w:t>–</w:t>
      </w:r>
      <w:r w:rsidRPr="00D236BB">
        <w:t xml:space="preserve"> форсунка;</w:t>
      </w:r>
      <w:r w:rsidR="00D236BB">
        <w:t xml:space="preserve"> </w:t>
      </w:r>
      <w:r w:rsidRPr="00D236BB">
        <w:t xml:space="preserve">8 </w:t>
      </w:r>
      <w:r w:rsidR="00D236BB">
        <w:t>–</w:t>
      </w:r>
      <w:r w:rsidRPr="00D236BB">
        <w:t xml:space="preserve"> испытуемый образец; 9 </w:t>
      </w:r>
      <w:r w:rsidR="00D236BB">
        <w:t>–</w:t>
      </w:r>
      <w:r w:rsidRPr="00D236BB">
        <w:t xml:space="preserve"> вкладыш</w:t>
      </w:r>
    </w:p>
    <w:p w:rsidR="00D236BB" w:rsidRDefault="00D236B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A00C3" w:rsidRPr="00D236BB" w:rsidRDefault="006A00C3">
      <w:pPr>
        <w:pStyle w:val="ConsPlusNormal"/>
        <w:jc w:val="right"/>
        <w:outlineLvl w:val="0"/>
      </w:pPr>
      <w:r w:rsidRPr="00D236BB">
        <w:lastRenderedPageBreak/>
        <w:t>Приложение</w:t>
      </w:r>
      <w:proofErr w:type="gramStart"/>
      <w:r w:rsidRPr="00D236BB">
        <w:t xml:space="preserve"> Б</w:t>
      </w:r>
      <w:proofErr w:type="gramEnd"/>
    </w:p>
    <w:p w:rsidR="006A00C3" w:rsidRPr="00D236BB" w:rsidRDefault="006A00C3">
      <w:pPr>
        <w:pStyle w:val="ConsPlusNormal"/>
        <w:jc w:val="right"/>
      </w:pPr>
      <w:r w:rsidRPr="00D236BB">
        <w:t>Обязательное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jc w:val="center"/>
        <w:rPr>
          <w:b/>
        </w:rPr>
      </w:pPr>
      <w:bookmarkStart w:id="7" w:name="P255"/>
      <w:bookmarkEnd w:id="7"/>
      <w:r w:rsidRPr="00D236BB">
        <w:rPr>
          <w:b/>
        </w:rPr>
        <w:t>ОЦЕНКА СРЕДНЕГО КВАДРАТИЧЕСКОГО ОТКЛОНЕНИЯ</w:t>
      </w:r>
      <w:r w:rsidR="00D236BB">
        <w:rPr>
          <w:b/>
        </w:rPr>
        <w:t xml:space="preserve"> </w:t>
      </w:r>
      <w:r w:rsidRPr="00D236BB">
        <w:rPr>
          <w:b/>
        </w:rPr>
        <w:t>РЕЗУЛЬТАТА ИЗМЕРЕНИЙ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 xml:space="preserve">1. Оценка среднего </w:t>
      </w:r>
      <w:proofErr w:type="spellStart"/>
      <w:r w:rsidRPr="00D236BB">
        <w:t>квадратического</w:t>
      </w:r>
      <w:proofErr w:type="spellEnd"/>
      <w:r w:rsidRPr="00D236BB">
        <w:t xml:space="preserve"> отклонения </w:t>
      </w:r>
      <w:r w:rsidR="00CA3933" w:rsidRPr="00D236BB">
        <w:rPr>
          <w:position w:val="-11"/>
        </w:rPr>
        <w:pict>
          <v:shape id="_x0000_i1029" style="width:32.25pt;height:22.45pt" coordsize="" o:spt="100" adj="0,,0" path="" filled="f" stroked="f">
            <v:stroke joinstyle="miter"/>
            <v:imagedata r:id="rId11" o:title="base_44_925_32772"/>
            <v:formulas/>
            <v:path o:connecttype="segments"/>
          </v:shape>
        </w:pict>
      </w:r>
      <w:r w:rsidRPr="00D236BB">
        <w:t xml:space="preserve"> результата измерений производится по следующей формуле:</w:t>
      </w:r>
    </w:p>
    <w:p w:rsidR="006A00C3" w:rsidRPr="00D236BB" w:rsidRDefault="00CA3933">
      <w:pPr>
        <w:pStyle w:val="ConsPlusNormal"/>
        <w:jc w:val="center"/>
      </w:pPr>
      <w:bookmarkStart w:id="8" w:name="P260"/>
      <w:bookmarkEnd w:id="8"/>
      <w:r w:rsidRPr="00D236BB">
        <w:rPr>
          <w:position w:val="-31"/>
        </w:rPr>
        <w:pict>
          <v:shape id="_x0000_i1030" style="width:145.15pt;height:42.05pt" coordsize="" o:spt="100" adj="0,,0" path="" filled="f" stroked="f">
            <v:stroke joinstyle="miter"/>
            <v:imagedata r:id="rId12" o:title="base_44_925_32773"/>
            <v:formulas/>
            <v:path o:connecttype="segments"/>
          </v:shape>
        </w:pict>
      </w:r>
      <w:r w:rsidR="006A00C3" w:rsidRPr="00D236BB">
        <w:t>, (1)</w:t>
      </w:r>
    </w:p>
    <w:p w:rsidR="006A00C3" w:rsidRPr="00D236BB" w:rsidRDefault="006A00C3">
      <w:pPr>
        <w:pStyle w:val="ConsPlusNormal"/>
        <w:ind w:firstLine="540"/>
        <w:jc w:val="both"/>
      </w:pPr>
      <w:r w:rsidRPr="00D236BB">
        <w:t xml:space="preserve">где n - число измерений; </w:t>
      </w:r>
      <w:r w:rsidR="00CA3933" w:rsidRPr="00D236BB">
        <w:rPr>
          <w:position w:val="-8"/>
        </w:rPr>
        <w:pict>
          <v:shape id="_x0000_i1031" style="width:13.25pt;height:19.6pt" coordsize="" o:spt="100" adj="0,,0" path="" filled="f" stroked="f">
            <v:stroke joinstyle="miter"/>
            <v:imagedata r:id="rId13" o:title="base_44_925_32774"/>
            <v:formulas/>
            <v:path o:connecttype="segments"/>
          </v:shape>
        </w:pict>
      </w:r>
      <w:r w:rsidRPr="00D236BB">
        <w:t xml:space="preserve"> - i-e измерение, </w:t>
      </w:r>
      <w:proofErr w:type="gramStart"/>
      <w:r w:rsidRPr="00D236BB">
        <w:t>мм</w:t>
      </w:r>
      <w:proofErr w:type="gramEnd"/>
      <w:r w:rsidRPr="00D236BB">
        <w:t xml:space="preserve">; </w:t>
      </w:r>
      <w:r w:rsidR="00CA3933" w:rsidRPr="00D236BB">
        <w:rPr>
          <w:position w:val="-26"/>
        </w:rPr>
        <w:pict>
          <v:shape id="_x0000_i1032" style="width:65.1pt;height:36.85pt" coordsize="" o:spt="100" adj="0,,0" path="" filled="f" stroked="f">
            <v:stroke joinstyle="miter"/>
            <v:imagedata r:id="rId14" o:title="base_44_925_32775"/>
            <v:formulas/>
            <v:path o:connecttype="segments"/>
          </v:shape>
        </w:pict>
      </w:r>
      <w:r w:rsidRPr="00D236BB">
        <w:t>, - результат измерений (среднее арифметическое значение всех измерений), мм.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2. Пример вычисления среднего </w:t>
      </w:r>
      <w:proofErr w:type="spellStart"/>
      <w:r w:rsidRPr="00D236BB">
        <w:t>квадратического</w:t>
      </w:r>
      <w:proofErr w:type="spellEnd"/>
      <w:r w:rsidRPr="00D236BB">
        <w:t xml:space="preserve"> отклонения результата измерений.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Пусть имеется 5 наблюдений над нормально распределенной величиной </w:t>
      </w:r>
      <w:r w:rsidR="00CA3933" w:rsidRPr="00D236BB">
        <w:rPr>
          <w:position w:val="-5"/>
        </w:rPr>
        <w:pict>
          <v:shape id="_x0000_i1033" style="width:15.55pt;height:16.7pt" coordsize="" o:spt="100" adj="0,,0" path="" filled="f" stroked="f">
            <v:stroke joinstyle="miter"/>
            <v:imagedata r:id="rId15" o:title="base_44_925_32776"/>
            <v:formulas/>
            <v:path o:connecttype="segments"/>
          </v:shape>
        </w:pict>
      </w:r>
      <w:r w:rsidRPr="00D236BB">
        <w:t>:</w:t>
      </w:r>
    </w:p>
    <w:tbl>
      <w:tblPr>
        <w:tblStyle w:val="a3"/>
        <w:tblW w:w="0" w:type="auto"/>
        <w:jc w:val="center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1898"/>
      </w:tblGrid>
      <w:tr w:rsidR="00D236BB" w:rsidTr="00D236BB">
        <w:trPr>
          <w:jc w:val="center"/>
        </w:trPr>
        <w:tc>
          <w:tcPr>
            <w:tcW w:w="2125" w:type="dxa"/>
          </w:tcPr>
          <w:p w:rsidR="00D236BB" w:rsidRDefault="00D236BB" w:rsidP="00D236BB">
            <w:pPr>
              <w:pStyle w:val="ConsPlusNormal"/>
              <w:jc w:val="center"/>
            </w:pPr>
            <w:r w:rsidRPr="00D236BB">
              <w:t>i</w:t>
            </w:r>
          </w:p>
        </w:tc>
        <w:tc>
          <w:tcPr>
            <w:tcW w:w="1898" w:type="dxa"/>
          </w:tcPr>
          <w:p w:rsidR="00D236BB" w:rsidRDefault="00D236BB" w:rsidP="00D236BB">
            <w:pPr>
              <w:pStyle w:val="ConsPlusNormal"/>
              <w:jc w:val="center"/>
            </w:pPr>
            <w:proofErr w:type="spellStart"/>
            <w:r w:rsidRPr="00D236BB">
              <w:t>x</w:t>
            </w:r>
            <w:r w:rsidRPr="00D236BB">
              <w:rPr>
                <w:vertAlign w:val="subscript"/>
              </w:rPr>
              <w:t>i</w:t>
            </w:r>
            <w:proofErr w:type="spellEnd"/>
            <w:r w:rsidRPr="00D236BB">
              <w:t>,</w:t>
            </w:r>
            <w:r>
              <w:t xml:space="preserve"> </w:t>
            </w:r>
            <w:r w:rsidRPr="00D236BB">
              <w:t>мм</w:t>
            </w:r>
          </w:p>
        </w:tc>
      </w:tr>
      <w:tr w:rsidR="00D236BB" w:rsidTr="00D236BB">
        <w:trPr>
          <w:jc w:val="center"/>
        </w:trPr>
        <w:tc>
          <w:tcPr>
            <w:tcW w:w="2125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98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1,05</w:t>
            </w:r>
          </w:p>
        </w:tc>
      </w:tr>
      <w:tr w:rsidR="00D236BB" w:rsidTr="00D236BB">
        <w:trPr>
          <w:jc w:val="center"/>
        </w:trPr>
        <w:tc>
          <w:tcPr>
            <w:tcW w:w="2125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8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1,15</w:t>
            </w:r>
          </w:p>
        </w:tc>
      </w:tr>
      <w:tr w:rsidR="00D236BB" w:rsidTr="00D236BB">
        <w:trPr>
          <w:jc w:val="center"/>
        </w:trPr>
        <w:tc>
          <w:tcPr>
            <w:tcW w:w="2125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98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0,92</w:t>
            </w:r>
          </w:p>
        </w:tc>
      </w:tr>
      <w:tr w:rsidR="00D236BB" w:rsidTr="00D236BB">
        <w:trPr>
          <w:jc w:val="center"/>
        </w:trPr>
        <w:tc>
          <w:tcPr>
            <w:tcW w:w="2125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98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0,91</w:t>
            </w:r>
          </w:p>
        </w:tc>
      </w:tr>
      <w:tr w:rsidR="00D236BB" w:rsidTr="00D236BB">
        <w:trPr>
          <w:jc w:val="center"/>
        </w:trPr>
        <w:tc>
          <w:tcPr>
            <w:tcW w:w="2125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98" w:type="dxa"/>
          </w:tcPr>
          <w:p w:rsidR="00D236BB" w:rsidRPr="00D236BB" w:rsidRDefault="00D236BB" w:rsidP="00D236BB">
            <w:pPr>
              <w:pStyle w:val="ConsPlusNormal"/>
              <w:jc w:val="center"/>
            </w:pPr>
            <w:r>
              <w:t>0,98</w:t>
            </w:r>
          </w:p>
        </w:tc>
      </w:tr>
    </w:tbl>
    <w:p w:rsidR="006A00C3" w:rsidRPr="00D236BB" w:rsidRDefault="006A00C3">
      <w:pPr>
        <w:pStyle w:val="ConsPlusNormal"/>
        <w:ind w:firstLine="540"/>
        <w:jc w:val="both"/>
      </w:pPr>
      <w:r w:rsidRPr="00D236BB">
        <w:t xml:space="preserve">Определяем </w:t>
      </w:r>
      <w:r w:rsidR="00CA3933" w:rsidRPr="00D236BB">
        <w:rPr>
          <w:position w:val="-26"/>
        </w:rPr>
        <w:pict>
          <v:shape id="_x0000_i1034" style="width:29.95pt;height:36.85pt" coordsize="" o:spt="100" adj="0,,0" path="" filled="f" stroked="f">
            <v:stroke joinstyle="miter"/>
            <v:imagedata r:id="rId16" o:title="base_44_925_32777"/>
            <v:formulas/>
            <v:path o:connecttype="segments"/>
          </v:shape>
        </w:pict>
      </w:r>
      <w:r w:rsidRPr="00D236BB">
        <w:t xml:space="preserve"> = 1,05 + 1,15 + 0,92 + 0,91 + 0,98 = 5,01 мм.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 xml:space="preserve">Согласно формуле (2) имеем: </w:t>
      </w:r>
      <w:r w:rsidR="00CA3933" w:rsidRPr="00D236BB">
        <w:rPr>
          <w:position w:val="-22"/>
        </w:rPr>
        <w:pict>
          <v:shape id="_x0000_i1035" style="width:88.15pt;height:34pt" coordsize="" o:spt="100" adj="0,,0" path="" filled="f" stroked="f">
            <v:stroke joinstyle="miter"/>
            <v:imagedata r:id="rId17" o:title="base_44_925_32778"/>
            <v:formulas/>
            <v:path o:connecttype="segments"/>
          </v:shape>
        </w:pict>
      </w:r>
      <w:r w:rsidRPr="00D236BB">
        <w:t xml:space="preserve"> </w:t>
      </w:r>
      <w:proofErr w:type="gramStart"/>
      <w:r w:rsidRPr="00D236BB">
        <w:t>мм</w:t>
      </w:r>
      <w:proofErr w:type="gramEnd"/>
      <w:r w:rsidRPr="00D236BB">
        <w:t>.</w:t>
      </w:r>
    </w:p>
    <w:p w:rsidR="006A00C3" w:rsidRPr="00D236BB" w:rsidRDefault="006A00C3">
      <w:pPr>
        <w:pStyle w:val="ConsPlusNormal"/>
        <w:spacing w:before="220"/>
        <w:ind w:firstLine="540"/>
        <w:jc w:val="both"/>
      </w:pPr>
      <w:r w:rsidRPr="00D236BB">
        <w:t>Определяем</w:t>
      </w:r>
    </w:p>
    <w:p w:rsidR="006A00C3" w:rsidRPr="00D236BB" w:rsidRDefault="006A00C3">
      <w:pPr>
        <w:pStyle w:val="ConsPlusNormal"/>
      </w:pPr>
    </w:p>
    <w:p w:rsidR="006A00C3" w:rsidRPr="00D236BB" w:rsidRDefault="00CA3933">
      <w:pPr>
        <w:pStyle w:val="ConsPlusNormal"/>
        <w:jc w:val="center"/>
      </w:pPr>
      <w:r w:rsidRPr="00D236BB">
        <w:rPr>
          <w:position w:val="-26"/>
        </w:rPr>
        <w:pict>
          <v:shape id="_x0000_i1036" style="width:407.25pt;height:36.85pt" coordsize="" o:spt="100" adj="0,,0" path="" filled="f" stroked="f">
            <v:stroke joinstyle="miter"/>
            <v:imagedata r:id="rId18" o:title="base_44_925_32779"/>
            <v:formulas/>
            <v:path o:connecttype="segments"/>
          </v:shape>
        </w:pict>
      </w:r>
    </w:p>
    <w:p w:rsidR="006A00C3" w:rsidRPr="00D236BB" w:rsidRDefault="00CA3933">
      <w:pPr>
        <w:pStyle w:val="ConsPlusNormal"/>
        <w:jc w:val="center"/>
      </w:pPr>
      <w:r w:rsidRPr="00D236BB">
        <w:rPr>
          <w:position w:val="-13"/>
        </w:rPr>
        <w:pict>
          <v:shape id="_x0000_i1037" style="width:149.75pt;height:24.2pt" coordsize="" o:spt="100" adj="0,,0" path="" filled="f" stroked="f">
            <v:stroke joinstyle="miter"/>
            <v:imagedata r:id="rId19" o:title="base_44_925_32780"/>
            <v:formulas/>
            <v:path o:connecttype="segments"/>
          </v:shape>
        </w:pict>
      </w:r>
      <w:r w:rsidR="006A00C3" w:rsidRPr="00D236BB">
        <w:t>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>Согласно формуле (1) имеем:</w:t>
      </w:r>
    </w:p>
    <w:p w:rsidR="006A00C3" w:rsidRPr="00D236BB" w:rsidRDefault="006A00C3">
      <w:pPr>
        <w:pStyle w:val="ConsPlusNormal"/>
      </w:pPr>
    </w:p>
    <w:p w:rsidR="006A00C3" w:rsidRPr="00D236BB" w:rsidRDefault="00CA3933">
      <w:pPr>
        <w:pStyle w:val="ConsPlusNormal"/>
        <w:jc w:val="center"/>
      </w:pPr>
      <w:r w:rsidRPr="00D236BB">
        <w:rPr>
          <w:position w:val="-27"/>
        </w:rPr>
        <w:pict>
          <v:shape id="_x0000_i1038" style="width:172.8pt;height:38.6pt" coordsize="" o:spt="100" adj="0,,0" path="" filled="f" stroked="f">
            <v:stroke joinstyle="miter"/>
            <v:imagedata r:id="rId20" o:title="base_44_925_32781"/>
            <v:formulas/>
            <v:path o:connecttype="segments"/>
          </v:shape>
        </w:pict>
      </w:r>
      <w:proofErr w:type="gramStart"/>
      <w:r w:rsidR="006A00C3" w:rsidRPr="00D236BB">
        <w:t>мм</w:t>
      </w:r>
      <w:proofErr w:type="gramEnd"/>
      <w:r w:rsidR="006A00C3" w:rsidRPr="00D236BB">
        <w:t>.</w:t>
      </w:r>
    </w:p>
    <w:p w:rsidR="006A00C3" w:rsidRPr="00D236BB" w:rsidRDefault="006A00C3">
      <w:pPr>
        <w:pStyle w:val="ConsPlusNormal"/>
      </w:pPr>
    </w:p>
    <w:p w:rsidR="006A00C3" w:rsidRPr="00D236BB" w:rsidRDefault="006A00C3">
      <w:pPr>
        <w:pStyle w:val="ConsPlusNormal"/>
        <w:ind w:firstLine="540"/>
        <w:jc w:val="both"/>
      </w:pPr>
      <w:r w:rsidRPr="00D236BB">
        <w:t xml:space="preserve">Определяем среднее </w:t>
      </w:r>
      <w:proofErr w:type="spellStart"/>
      <w:r w:rsidRPr="00D236BB">
        <w:t>квадратическое</w:t>
      </w:r>
      <w:proofErr w:type="spellEnd"/>
      <w:r w:rsidRPr="00D236BB">
        <w:t xml:space="preserve"> отклонение в процентном выражении:</w:t>
      </w:r>
    </w:p>
    <w:p w:rsidR="006A00C3" w:rsidRPr="00D236BB" w:rsidRDefault="006A00C3">
      <w:pPr>
        <w:pStyle w:val="ConsPlusNormal"/>
      </w:pPr>
    </w:p>
    <w:p w:rsidR="006A00C3" w:rsidRPr="00D236BB" w:rsidRDefault="00CA3933">
      <w:pPr>
        <w:pStyle w:val="ConsPlusNormal"/>
        <w:jc w:val="center"/>
      </w:pPr>
      <w:r w:rsidRPr="00D236BB">
        <w:rPr>
          <w:position w:val="-25"/>
        </w:rPr>
        <w:pict>
          <v:shape id="_x0000_i1039" style="width:100.2pt;height:36.85pt" coordsize="" o:spt="100" adj="0,,0" path="" filled="f" stroked="f">
            <v:stroke joinstyle="miter"/>
            <v:imagedata r:id="rId21" o:title="base_44_925_32782"/>
            <v:formulas/>
            <v:path o:connecttype="segments"/>
          </v:shape>
        </w:pict>
      </w:r>
      <w:r w:rsidR="006A00C3" w:rsidRPr="00D236BB">
        <w:t>.</w:t>
      </w:r>
    </w:p>
    <w:p w:rsidR="006A00C3" w:rsidRPr="00D236BB" w:rsidRDefault="006A00C3">
      <w:pPr>
        <w:pStyle w:val="ConsPlusNormal"/>
      </w:pPr>
    </w:p>
    <w:p w:rsidR="006A1888" w:rsidRPr="00D236BB" w:rsidRDefault="006A00C3" w:rsidP="006A00C3">
      <w:pPr>
        <w:pStyle w:val="ConsPlusNormal"/>
        <w:ind w:firstLine="540"/>
        <w:jc w:val="both"/>
      </w:pPr>
      <w:r w:rsidRPr="00D236BB">
        <w:t xml:space="preserve">Среднее </w:t>
      </w:r>
      <w:proofErr w:type="spellStart"/>
      <w:r w:rsidRPr="00D236BB">
        <w:t>квадратическое</w:t>
      </w:r>
      <w:proofErr w:type="spellEnd"/>
      <w:r w:rsidRPr="00D236BB">
        <w:t xml:space="preserve"> отклонение в процентном выражении составило 10% от результата измерений (среднее арифметическое значение всех измерений).</w:t>
      </w:r>
    </w:p>
    <w:sectPr w:rsidR="006A1888" w:rsidRPr="00D236BB" w:rsidSect="00D9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C3"/>
    <w:rsid w:val="006A00C3"/>
    <w:rsid w:val="006A1888"/>
    <w:rsid w:val="00CA3933"/>
    <w:rsid w:val="00D2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00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0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3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3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00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0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3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3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statyi-polzovateley/ognezashhita-metallicheskih-konstruktsiy-sposobyi-i-sostavyi/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832A6-2C6C-45AA-9844-44BF4779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2968</Words>
  <Characters>16918</Characters>
  <Application>Microsoft Office Word</Application>
  <DocSecurity>0</DocSecurity>
  <Lines>140</Lines>
  <Paragraphs>39</Paragraphs>
  <ScaleCrop>false</ScaleCrop>
  <Company/>
  <LinksUpToDate>false</LinksUpToDate>
  <CharactersWithSpaces>19847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2018-07-14T16:45:00Z</dcterms:created>
  <dcterms:modified xsi:type="dcterms:W3CDTF">2018-07-14T17:03:00Z</dcterms:modified>
</cp:coreProperties>
</file>