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30" w:rsidRPr="006F6DE9" w:rsidRDefault="008A7A30" w:rsidP="008A7A30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color w:val="000000" w:themeColor="text1"/>
          <w:sz w:val="28"/>
          <w:szCs w:val="28"/>
        </w:rPr>
      </w:pPr>
      <w:r w:rsidRPr="006F6DE9">
        <w:rPr>
          <w:color w:val="000000" w:themeColor="text1"/>
          <w:sz w:val="28"/>
          <w:szCs w:val="28"/>
        </w:rPr>
        <w:t>МИНИСТЕРСТВО РОССИЙСКОЙ ФЕДЕРАЦИИ</w:t>
      </w:r>
      <w:r w:rsidRPr="006F6DE9">
        <w:rPr>
          <w:color w:val="000000" w:themeColor="text1"/>
          <w:sz w:val="28"/>
          <w:szCs w:val="28"/>
        </w:rPr>
        <w:br/>
        <w:t>ПО ДЕЛАМ ГРАЖДАНСКОЙ ОБОРОНЫ, ЧРЕЗВЫЧАЙНЫМ СИТУАЦИЯМ И ЛИКВИДАЦИИ ПОСЛЕДСТВИЙ СТИХИЙНЫХ БЕДСТВИЙ</w:t>
      </w:r>
    </w:p>
    <w:p w:rsidR="008A7A30" w:rsidRPr="006F6DE9" w:rsidRDefault="008A7A30" w:rsidP="008A7A30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color w:val="000000" w:themeColor="text1"/>
          <w:sz w:val="28"/>
          <w:szCs w:val="28"/>
        </w:rPr>
      </w:pPr>
      <w:r w:rsidRPr="006F6DE9">
        <w:rPr>
          <w:color w:val="000000" w:themeColor="text1"/>
          <w:sz w:val="28"/>
          <w:szCs w:val="28"/>
        </w:rPr>
        <w:t>(МЧС РОССИИ)</w:t>
      </w:r>
    </w:p>
    <w:p w:rsidR="008A7A30" w:rsidRPr="006F6DE9" w:rsidRDefault="008A7A30" w:rsidP="008A7A3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3F9E4936" wp14:editId="366B713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6F6DE9" w:rsidRPr="006F6DE9" w:rsidTr="00B5467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A7A30" w:rsidRPr="006F6DE9" w:rsidRDefault="008A7A30" w:rsidP="00B54671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color w:val="000000" w:themeColor="text1"/>
                <w:sz w:val="16"/>
                <w:szCs w:val="28"/>
              </w:rPr>
            </w:pPr>
            <w:bookmarkStart w:id="0" w:name="bookmark0"/>
          </w:p>
        </w:tc>
      </w:tr>
    </w:tbl>
    <w:p w:rsidR="008A7A30" w:rsidRPr="006F6DE9" w:rsidRDefault="008A7A30" w:rsidP="008A7A30">
      <w:pPr>
        <w:pStyle w:val="120"/>
        <w:keepNext/>
        <w:keepLines/>
        <w:shd w:val="clear" w:color="auto" w:fill="auto"/>
        <w:spacing w:before="0" w:after="0" w:line="240" w:lineRule="auto"/>
        <w:rPr>
          <w:color w:val="000000" w:themeColor="text1"/>
          <w:szCs w:val="28"/>
          <w:lang w:bidi="ru-RU"/>
        </w:rPr>
      </w:pPr>
      <w:r w:rsidRPr="006F6DE9">
        <w:rPr>
          <w:color w:val="000000" w:themeColor="text1"/>
          <w:szCs w:val="28"/>
        </w:rPr>
        <w:t>ПРИКАЗ</w:t>
      </w:r>
      <w:bookmarkEnd w:id="0"/>
    </w:p>
    <w:p w:rsidR="008A7A30" w:rsidRPr="006F6DE9" w:rsidRDefault="008A7A30" w:rsidP="008A7A30">
      <w:pPr>
        <w:pStyle w:val="30"/>
        <w:shd w:val="clear" w:color="auto" w:fill="auto"/>
        <w:spacing w:line="240" w:lineRule="auto"/>
        <w:jc w:val="left"/>
        <w:rPr>
          <w:color w:val="000000" w:themeColor="text1"/>
          <w:sz w:val="28"/>
          <w:szCs w:val="28"/>
        </w:rPr>
      </w:pPr>
    </w:p>
    <w:tbl>
      <w:tblPr>
        <w:tblStyle w:val="a3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6F6DE9" w:rsidRPr="006F6DE9" w:rsidTr="00B54671">
        <w:trPr>
          <w:trHeight w:val="346"/>
        </w:trPr>
        <w:tc>
          <w:tcPr>
            <w:tcW w:w="3419" w:type="dxa"/>
            <w:hideMark/>
          </w:tcPr>
          <w:p w:rsidR="008A7A30" w:rsidRPr="006F6DE9" w:rsidRDefault="00E10CC2" w:rsidP="00E10CC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color w:val="000000" w:themeColor="text1"/>
                <w:sz w:val="28"/>
                <w:szCs w:val="28"/>
                <w:u w:val="single"/>
              </w:rPr>
            </w:pPr>
            <w:r w:rsidRPr="006F6DE9">
              <w:rPr>
                <w:b w:val="0"/>
                <w:color w:val="000000" w:themeColor="text1"/>
                <w:sz w:val="28"/>
                <w:szCs w:val="28"/>
                <w:u w:val="single"/>
              </w:rPr>
              <w:t>10</w:t>
            </w:r>
            <w:r w:rsidR="008A7A30" w:rsidRPr="006F6DE9">
              <w:rPr>
                <w:b w:val="0"/>
                <w:color w:val="000000" w:themeColor="text1"/>
                <w:sz w:val="28"/>
                <w:szCs w:val="28"/>
                <w:u w:val="single"/>
              </w:rPr>
              <w:t>.0</w:t>
            </w:r>
            <w:r w:rsidRPr="006F6DE9">
              <w:rPr>
                <w:b w:val="0"/>
                <w:color w:val="000000" w:themeColor="text1"/>
                <w:sz w:val="28"/>
                <w:szCs w:val="28"/>
                <w:u w:val="single"/>
              </w:rPr>
              <w:t>4</w:t>
            </w:r>
            <w:r w:rsidR="008A7A30" w:rsidRPr="006F6DE9">
              <w:rPr>
                <w:b w:val="0"/>
                <w:color w:val="000000" w:themeColor="text1"/>
                <w:sz w:val="28"/>
                <w:szCs w:val="28"/>
                <w:u w:val="single"/>
              </w:rPr>
              <w:t>.2018</w:t>
            </w:r>
          </w:p>
        </w:tc>
        <w:tc>
          <w:tcPr>
            <w:tcW w:w="3419" w:type="dxa"/>
            <w:hideMark/>
          </w:tcPr>
          <w:p w:rsidR="008A7A30" w:rsidRPr="006F6DE9" w:rsidRDefault="008A7A30" w:rsidP="00B54671">
            <w:pPr>
              <w:pStyle w:val="30"/>
              <w:shd w:val="clear" w:color="auto" w:fill="auto"/>
              <w:spacing w:line="240" w:lineRule="auto"/>
              <w:rPr>
                <w:color w:val="000000" w:themeColor="text1"/>
                <w:sz w:val="28"/>
                <w:szCs w:val="28"/>
              </w:rPr>
            </w:pPr>
            <w:r w:rsidRPr="006F6DE9">
              <w:rPr>
                <w:color w:val="000000" w:themeColor="text1"/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8A7A30" w:rsidRPr="006F6DE9" w:rsidRDefault="008A7A30" w:rsidP="00E10CC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color w:val="000000" w:themeColor="text1"/>
                <w:sz w:val="28"/>
                <w:szCs w:val="28"/>
                <w:u w:val="single"/>
              </w:rPr>
            </w:pPr>
            <w:r w:rsidRPr="006F6DE9">
              <w:rPr>
                <w:b w:val="0"/>
                <w:color w:val="000000" w:themeColor="text1"/>
                <w:sz w:val="28"/>
                <w:szCs w:val="28"/>
              </w:rPr>
              <w:t xml:space="preserve">№ </w:t>
            </w:r>
            <w:r w:rsidR="00E10CC2" w:rsidRPr="006F6DE9">
              <w:rPr>
                <w:b w:val="0"/>
                <w:color w:val="000000" w:themeColor="text1"/>
                <w:sz w:val="28"/>
                <w:szCs w:val="28"/>
                <w:u w:val="single"/>
              </w:rPr>
              <w:t>154</w:t>
            </w:r>
          </w:p>
        </w:tc>
      </w:tr>
    </w:tbl>
    <w:p w:rsidR="00980A83" w:rsidRPr="006F6DE9" w:rsidRDefault="00980A8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17D0" w:rsidRPr="006F6DE9" w:rsidRDefault="006117D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83" w:rsidRPr="006F6DE9" w:rsidRDefault="00E10CC2" w:rsidP="006117D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свода правил «Здания и сооружения для обслуживания автомобилей. Требования пожарной безопасности»</w:t>
      </w:r>
    </w:p>
    <w:p w:rsidR="006117D0" w:rsidRPr="006F6DE9" w:rsidRDefault="006117D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83" w:rsidRPr="006F6DE9" w:rsidRDefault="00E10CC2" w:rsidP="006117D0">
      <w:pPr>
        <w:pStyle w:val="ConsPlusNormal"/>
        <w:spacing w:line="288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22 июля 2008 г. № 123-ФЗ «Технический регламент о требованиях пожарной безопасности»</w:t>
      </w:r>
      <w:r w:rsidRPr="006F6DE9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,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Pr="006F6DE9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постановлением Правительства Российской Ф</w:t>
      </w:r>
      <w:bookmarkStart w:id="1" w:name="_GoBack"/>
      <w:bookmarkEnd w:id="1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едерации от 1 июля 2016 г. № 624 «Об утверждении Правил разработки, утверждения, опубликования, изменения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отмены сводов правил»</w:t>
      </w:r>
      <w:r w:rsidRPr="006F6DE9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980A8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A83" w:rsidRPr="006F6DE9"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>приказываю</w:t>
      </w:r>
      <w:r w:rsidR="00980A8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80A83" w:rsidRPr="006F6DE9" w:rsidRDefault="00980A83" w:rsidP="006117D0">
      <w:pPr>
        <w:pStyle w:val="ConsPlusNormal"/>
        <w:spacing w:line="28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0A83" w:rsidRPr="006F6DE9" w:rsidRDefault="00E10CC2" w:rsidP="00E10CC2">
      <w:pPr>
        <w:pStyle w:val="ConsPlusNormal"/>
        <w:numPr>
          <w:ilvl w:val="0"/>
          <w:numId w:val="3"/>
        </w:numPr>
        <w:tabs>
          <w:tab w:val="left" w:pos="851"/>
        </w:tabs>
        <w:spacing w:line="288" w:lineRule="auto"/>
        <w:ind w:left="0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и ввести в действие с 1 мая 2018 г. прилагаемый свод правил «Здания и сооружения для обслуживания автомобилей. </w:t>
      </w:r>
      <w:hyperlink r:id="rId10" w:history="1">
        <w:r w:rsidRPr="006F6DE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Требования пожарной безопасности</w:t>
        </w:r>
      </w:hyperlink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80A83" w:rsidRPr="006F6DE9" w:rsidRDefault="00980A83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A30" w:rsidRPr="006F6DE9" w:rsidRDefault="008A7A3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7A30" w:rsidRPr="006F6DE9" w:rsidRDefault="008A7A30" w:rsidP="008A7A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D64CD" w:rsidRPr="006F6DE9" w:rsidRDefault="008A7A30" w:rsidP="00AD64CD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AD64CD" w:rsidRPr="006F6DE9" w:rsidSect="00EB2DEC">
          <w:footerReference w:type="defaul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Министр</w:t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r w:rsidR="00AD64CD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 xml:space="preserve">   </w:t>
      </w:r>
      <w:r w:rsidR="00E10CC2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В.А. Пучков</w:t>
      </w:r>
    </w:p>
    <w:p w:rsidR="008A7A30" w:rsidRPr="006F6DE9" w:rsidRDefault="00E10CC2" w:rsidP="00AD64CD">
      <w:pPr>
        <w:pStyle w:val="ConsPlusNormal"/>
        <w:ind w:left="680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УТВЕРЖДЕН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приказом МЧС России от 10.04.18 № 154</w:t>
      </w:r>
    </w:p>
    <w:p w:rsidR="00E10CC2" w:rsidRPr="006F6DE9" w:rsidRDefault="00E10CC2" w:rsidP="006117D0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РОССИЙСКОЙ ФЕДЕРАЦИИ</w:t>
      </w:r>
    </w:p>
    <w:p w:rsidR="007D58C7" w:rsidRPr="006F6DE9" w:rsidRDefault="007D58C7" w:rsidP="007D58C7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ДЕЛАМ ГРАЖДАНСКОЙ ОБОРОНЫ, ЧРЕЗВЫЧАЙНЫМ</w:t>
      </w: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СИТУАЦИЯМ И ЛИКВИДАЦИИ ПОСЛЕДСТВИЙ СТИХИЙНЫХ БЕДСТВИЙ</w:t>
      </w:r>
    </w:p>
    <w:p w:rsidR="007D58C7" w:rsidRPr="006F6DE9" w:rsidRDefault="007D58C7" w:rsidP="007D58C7">
      <w:pPr>
        <w:pStyle w:val="ConsPlusNormal"/>
        <w:spacing w:line="360" w:lineRule="auto"/>
        <w:ind w:left="4248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</w:t>
      </w: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 ПРАВИЛ</w:t>
      </w:r>
    </w:p>
    <w:p w:rsidR="007D58C7" w:rsidRPr="006F6DE9" w:rsidRDefault="007D58C7" w:rsidP="007D58C7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ЗДАНИЯ И СООРУЖЕНИЯ</w:t>
      </w: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ДЛЯ ОБСЛУЖИВАНИЯ АВТОМОБИЛЕЙ</w:t>
      </w: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пожарной безопасности</w:t>
      </w: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Издание официальное</w:t>
      </w: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C52" w:rsidRPr="006F6DE9" w:rsidRDefault="008D6C52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8C7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Москва</w:t>
      </w:r>
    </w:p>
    <w:p w:rsidR="008D6C52" w:rsidRPr="006F6DE9" w:rsidRDefault="007D58C7" w:rsidP="007D58C7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2018</w:t>
      </w:r>
    </w:p>
    <w:p w:rsidR="00EB2DEC" w:rsidRPr="006F6DE9" w:rsidRDefault="00EB2DEC" w:rsidP="00797891">
      <w:pPr>
        <w:spacing w:after="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D6C52" w:rsidRPr="006F6DE9" w:rsidRDefault="00797891" w:rsidP="00797891">
      <w:pPr>
        <w:spacing w:after="0" w:line="36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797891" w:rsidRPr="006F6DE9" w:rsidRDefault="00797891" w:rsidP="0079789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Предисловие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Цели и принципы стандартизации в Российской Федерации установлены Федеральным законом от 29 июня 2015 г. № 162-ФЗ «О стандартизации в Российской Федерации», а правила применения сводов правил – постановлением Правительства Российской Федерации от 1 июля 2016 г. № 624 «Об утверждении Правил разработки, утверждения, опубликования, изменения и отмены сводов правил».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Сведения о своде правил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783297"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РАЗРАБОТАН И ВНЕСЕН Федеральным государственным бюджетным учреждением «Всероссийский ордена «Знак Почета» научно-исследовательский институт противопожарной обороны МЧС России» (ФГБУ ВНИИПО МЧС России)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783297"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 И ВВЕДЕН В ДЕЙСТВИЕ Приказом Министерства Российской Федерации по делам гражданской обороны, чрезвычайным ситуациям и ликвидации последствий стихийных бедствий (МЧС России)</w:t>
      </w: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 ______________ 2018 г. №_____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783297"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ЗАРЕГИСТРИРОВАН</w:t>
      </w:r>
      <w:proofErr w:type="gramEnd"/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Федеральным агентством по техническому регулированию и метрологии ___________________________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783297"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ВВЕДЁН ВПЕРВЫЕ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Информация о пересмотре или внесении изменений в настоящий свод правил, а также тексты размещаются в информационной системе общего пользования </w:t>
      </w:r>
      <w:r w:rsidR="00F45BC3" w:rsidRPr="006F6D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6F6D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 официальном сайте разработчика. Соответствующая информация, уведомление и тексты размещаются также в информационной системе общего пользования </w:t>
      </w:r>
      <w:r w:rsidR="001330D0" w:rsidRPr="006F6D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6F6DE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 официальном сайте федерального органа исполнительной власти в сфере стандартизации в сети Интернет (www.gost.ru).</w:t>
      </w:r>
    </w:p>
    <w:p w:rsidR="00797891" w:rsidRPr="006F6DE9" w:rsidRDefault="00797891" w:rsidP="007978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Настоящий свод правил не может быть полностью или частично воспроизведен, тиражирован и распространен в качестве официального издания</w:t>
      </w:r>
      <w:r w:rsidR="00EB2DEC"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территории Российской Федерации без разрешения федерального органа исполнительной власти в сфере стандартизации.</w:t>
      </w:r>
    </w:p>
    <w:p w:rsidR="00F45BC3" w:rsidRPr="006F6DE9" w:rsidRDefault="00F45BC3" w:rsidP="00EB2DEC">
      <w:pPr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F45BC3" w:rsidRPr="006F6DE9" w:rsidRDefault="00F45BC3" w:rsidP="00F45BC3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t>Содержание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1. Область применения................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...................................................................1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2. Нормативные ссылки......................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.............................................................2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3. Термины и определения...............................................................................3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4. Обозначения и сокращения...........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.............................................4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5. Общие требования........................................................................................4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6. Требования к размещению...........................................................................5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7. Требования к объёмно-планировочным и конструктивным решениям....................................................................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............................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.....................7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8. Требования к системам инженерно-технического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.....11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8.1. Отопление и вентиляция.................................................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........11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8.2. Пожаротушение, сигнализация и оповещение.....................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.........12</w:t>
      </w:r>
    </w:p>
    <w:p w:rsidR="00F45BC3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8.3. Электроснабжение.........................................................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....................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.......13</w:t>
      </w:r>
    </w:p>
    <w:p w:rsidR="001102E2" w:rsidRPr="006F6DE9" w:rsidRDefault="00F45BC3" w:rsidP="001330D0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1102E2" w:rsidRPr="006F6DE9" w:rsidSect="00EB2DEC">
          <w:pgSz w:w="11906" w:h="16838" w:code="9"/>
          <w:pgMar w:top="993" w:right="1134" w:bottom="851" w:left="1134" w:header="709" w:footer="709" w:gutter="0"/>
          <w:cols w:space="708"/>
          <w:docGrid w:linePitch="360"/>
        </w:sect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Библиография..................................................................................................15</w:t>
      </w:r>
    </w:p>
    <w:p w:rsidR="00F45BC3" w:rsidRPr="006F6DE9" w:rsidRDefault="00F45BC3" w:rsidP="00F45BC3">
      <w:pPr>
        <w:spacing w:after="0" w:line="360" w:lineRule="auto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F45BC3" w:rsidRPr="006F6DE9" w:rsidRDefault="00F45BC3" w:rsidP="00F45BC3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СВОД ПРАВИЛ</w:t>
      </w:r>
    </w:p>
    <w:p w:rsidR="001330D0" w:rsidRPr="006F6DE9" w:rsidRDefault="001330D0" w:rsidP="00F45BC3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45BC3" w:rsidRPr="006F6DE9" w:rsidRDefault="001330D0" w:rsidP="001330D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ЗДАНИЯ И СООРУЖЕНИЯ ДЛЯ ОБСЛУЖИВАНИЯ</w:t>
      </w: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АВТОМОБИЛЕЙ</w:t>
      </w:r>
    </w:p>
    <w:p w:rsidR="001330D0" w:rsidRPr="006F6DE9" w:rsidRDefault="001330D0" w:rsidP="001330D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1330D0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пожарной безопасности</w:t>
      </w:r>
    </w:p>
    <w:p w:rsidR="001330D0" w:rsidRPr="006F6DE9" w:rsidRDefault="001330D0" w:rsidP="001330D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1330D0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Buildings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facilities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service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cars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Fire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safety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requirements</w:t>
      </w:r>
      <w:proofErr w:type="spellEnd"/>
    </w:p>
    <w:p w:rsidR="001330D0" w:rsidRPr="006F6DE9" w:rsidRDefault="001330D0" w:rsidP="001330D0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1330D0">
      <w:pP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введения _____________</w:t>
      </w:r>
    </w:p>
    <w:p w:rsidR="001330D0" w:rsidRPr="006F6DE9" w:rsidRDefault="001330D0" w:rsidP="001330D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1330D0">
      <w:pPr>
        <w:pStyle w:val="a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Область применения.</w:t>
      </w:r>
    </w:p>
    <w:p w:rsidR="001330D0" w:rsidRPr="006F6DE9" w:rsidRDefault="001330D0" w:rsidP="001330D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1330D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свод правил устанавливает требования пожарной безопасности при проектировании, строительстве, монтаже, эксплуатации, реконструкции, техническом перевооружении зданий и сооружений для обслуживания автомобилей.</w:t>
      </w:r>
    </w:p>
    <w:p w:rsidR="001330D0" w:rsidRPr="006F6DE9" w:rsidRDefault="001330D0" w:rsidP="001330D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свод правил распространяется на здания, сооружения предприятий для обслуживания колесных транспортных средств [1], а также сельскохозяйственной техники.</w:t>
      </w:r>
    </w:p>
    <w:p w:rsidR="001330D0" w:rsidRPr="006F6DE9" w:rsidRDefault="001330D0" w:rsidP="001330D0">
      <w:pPr>
        <w:pStyle w:val="aa"/>
        <w:numPr>
          <w:ilvl w:val="1"/>
          <w:numId w:val="4"/>
        </w:numPr>
        <w:pBdr>
          <w:bottom w:val="single" w:sz="12" w:space="1" w:color="auto"/>
        </w:pBd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Действие настоящего свода правил не распространяется на здания пожарных депо, здания и сооружения для обслуживания подвижной техники военного назначения, автомобилей для транспортирования радиоактивных, ядовитых и инфицирующих материалов, а также на здания для обслуживания автомобилей, работающих на водороде и сжиженном природном газе.</w:t>
      </w:r>
    </w:p>
    <w:p w:rsidR="001330D0" w:rsidRPr="006F6DE9" w:rsidRDefault="00133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1330D0" w:rsidRPr="006F6DE9" w:rsidRDefault="001330D0" w:rsidP="001330D0">
      <w:pPr>
        <w:pStyle w:val="a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Нормативные ссылки.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настоящем своде правил использованы нормативные ссылки на следующие своды правил: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2.13130.2012 Системы противопожарной защиты. Обеспечение огнестойкости объектов защиты;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4.13130.2013 Системы противопожарной защиты. Ограничение распространения пожара на объектах защиты. Требования к объемно-планировочным и конструктивным решениям;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5.13130.2009 Системы противопожарной защиты. Установки пожарной сигнализации и пожаротушения автоматические. Нормы и правила проектирования;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7.13130.2013 Отопление, вентиляция и кондиционирование. Требования пожарной безопасности;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8.13130.2009 Системы противопожарной защиты. Источники наружного противопожарного водоснабжения;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9.13130.2009 Техника пожарная. Огнетушители. Требования к эксплуатации;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10.13130.2009 Системы противопожарной защиты. Внутренний противопожарный водопровод. Требования пожарной безопасности;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12.13130.2009 Определение категорий помещений, зданий и наружных установок по взрывопожарной и пожарной опасности;</w:t>
      </w:r>
    </w:p>
    <w:p w:rsidR="001330D0" w:rsidRPr="006F6DE9" w:rsidRDefault="001330D0" w:rsidP="001330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СП 156.13130.2014 Станции автомобильные заправочные. Требования пожарной безопасности.</w:t>
      </w:r>
    </w:p>
    <w:p w:rsidR="002A486E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F6DE9"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>Примечание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</w:t>
      </w:r>
    </w:p>
    <w:p w:rsidR="002A486E" w:rsidRPr="006F6DE9" w:rsidRDefault="002A486E" w:rsidP="002A486E">
      <w:pPr>
        <w:spacing w:after="0" w:line="360" w:lineRule="auto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1330D0" w:rsidRPr="006F6DE9" w:rsidRDefault="001330D0" w:rsidP="002A486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 соответствующим ежемесячным информационным указателям, опубликованным в текущем году. Если ссылочный документ заменен (изменен), то при пользовании настоящим сводом правил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1330D0" w:rsidRPr="006F6DE9" w:rsidRDefault="001330D0" w:rsidP="0078329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330D0" w:rsidRPr="006F6DE9" w:rsidRDefault="001330D0" w:rsidP="00783297">
      <w:pPr>
        <w:pStyle w:val="aa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Термины, определения и принятые сокращения.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настоящем своде правил использованы следующие термины с соответствующими определениями:</w:t>
      </w:r>
    </w:p>
    <w:p w:rsidR="00783297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газобаллонный автомобиль: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Транспортное средство с двигателем, работающем на компримированном природном или сжиженном углеводородном газе.</w:t>
      </w:r>
      <w:proofErr w:type="gramEnd"/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групповая баллонная установка: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газоснабжения, в состав которой входит более 2-х баллонов, вместимостью не менее 5 л каждый.</w:t>
      </w:r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жидкое моторное топливо: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Топливо для двигателей внутреннего сгорания, находящееся при нормальных условиях в жидком состоянии (бензин, дизельное топливо, керосин и др.)</w:t>
      </w:r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кладовая: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Небольшое помещение для хранения различных предметов при отсутствии в нем постоянных рабочих мест.</w:t>
      </w:r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обслуживание автомобилей: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Рабочие операции по осмотру, ремонту, замене отдельных деталей, узлов или масла, обслуживанию и зарядке аккумуляторов, окраске, мойке, шиномонтажу, установке устройств, не входящих в комплект автомобиля и т.д.</w:t>
      </w:r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Рабочее место (на открытой площадке или в помещении) для обслуживания одного автомобиля.</w:t>
      </w:r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технические помещения: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Вспомогательные помещения, в которых размещено инженерное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оборудование,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предназначенное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</w:t>
      </w:r>
      <w:r w:rsidR="002A486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2A486E"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  <w:r w:rsidR="002A486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производственного процесса и комфортных условий труда (вентиляционные, трансформаторные,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электрощитовые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, тепловые пункты, насосные системы пожаротушения, водоснабжения и канализации, щитовые управления процессами безопасности, дымоудаления, оповещения и т.д.).</w:t>
      </w:r>
    </w:p>
    <w:p w:rsidR="001330D0" w:rsidRPr="006F6DE9" w:rsidRDefault="001330D0" w:rsidP="00783297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централизованное газоснабжение: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Газоснабжение от газопровода или групповой баллонной установки, размещенной за пределами обслуживаемого здания.</w:t>
      </w:r>
    </w:p>
    <w:p w:rsidR="00783297" w:rsidRPr="006F6DE9" w:rsidRDefault="00783297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783297">
      <w:pPr>
        <w:pStyle w:val="aa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Обозначения и сокращения.</w:t>
      </w:r>
    </w:p>
    <w:p w:rsidR="00783297" w:rsidRPr="006F6DE9" w:rsidRDefault="00783297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ГБА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газобаллонный автомобиль;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ЖМТ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жидкое моторное топливо;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КПТ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компримированный природный газ;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 Г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сжиженный углеводородный газ;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техническое обслуживание;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TP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текущий ремонт;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св</w:t>
      </w:r>
      <w:proofErr w:type="spellEnd"/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свободный объем помещения;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proofErr w:type="gramEnd"/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доп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допустимый объем помещения;</w:t>
      </w:r>
    </w:p>
    <w:p w:rsidR="001330D0" w:rsidRPr="006F6DE9" w:rsidRDefault="001330D0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НКПР </w:t>
      </w:r>
      <w:r w:rsidR="0078329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нижний концентрационный предел распространения пламени.</w:t>
      </w:r>
    </w:p>
    <w:p w:rsidR="00783297" w:rsidRPr="006F6DE9" w:rsidRDefault="00783297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330D0" w:rsidRPr="006F6DE9" w:rsidRDefault="001330D0" w:rsidP="00783297">
      <w:pPr>
        <w:pStyle w:val="aa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требования.</w:t>
      </w:r>
    </w:p>
    <w:p w:rsidR="00783297" w:rsidRPr="006F6DE9" w:rsidRDefault="00783297" w:rsidP="0078329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3297" w:rsidRPr="006F6DE9" w:rsidRDefault="001330D0" w:rsidP="002A486E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Для обслуживания автомобилей могут использоваться отдельные здания или группа зданий, помещение или группа помещений, а также открытые площадки.</w:t>
      </w:r>
    </w:p>
    <w:p w:rsidR="002A486E" w:rsidRPr="006F6DE9" w:rsidRDefault="001330D0" w:rsidP="002A486E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обслуживания автомобилей относятся к классу функциональной пожарной опасности Ф5.1. Помещения для обслуживания автомобилей могут быть пристроены к зданиям класса функциональной пожарной опасности Ф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.4, ФЗ (кроме Ф3.4), Ф4 (кроме Ф4.1), Ф5, встроены в</w:t>
      </w: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8F24FC" w:rsidRPr="006F6DE9" w:rsidRDefault="008F24FC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здания класса функциональной пожарной опасности ФЗ (кроме Ф3.4), Ф5 и отделяться от них противопожарными стенами и перекрытиями 1 -го типа.</w:t>
      </w:r>
    </w:p>
    <w:p w:rsidR="008F24FC" w:rsidRPr="006F6DE9" w:rsidRDefault="008F24FC" w:rsidP="002A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Встраивание помещений для обслуживания ГБА в здания класса функциональной пожарной опасности ФЗ не допускается.</w:t>
      </w:r>
    </w:p>
    <w:p w:rsidR="008F24FC" w:rsidRPr="006F6DE9" w:rsidRDefault="008F24FC" w:rsidP="002A486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Входы и въезды в помещения для обслуживания автомобилей должны быть изолированы от входов и въездов в другие части здания.</w:t>
      </w:r>
    </w:p>
    <w:p w:rsidR="008F24FC" w:rsidRPr="006F6DE9" w:rsidRDefault="008F24FC" w:rsidP="002A486E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К зданиям, сооружениям, помещениям и наружным установкам предприятий по обслуживанию автомобилей должны применяться все общие требования, предъявляемые к производственным объектам, если они не оговорены дополнительно в настоящем своде правил.</w:t>
      </w:r>
    </w:p>
    <w:p w:rsidR="008F24FC" w:rsidRPr="006F6DE9" w:rsidRDefault="008F24FC" w:rsidP="008F24FC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4FC" w:rsidRPr="006F6DE9" w:rsidRDefault="008F24FC" w:rsidP="008F24FC">
      <w:pPr>
        <w:pStyle w:val="aa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размещению.</w:t>
      </w:r>
    </w:p>
    <w:p w:rsidR="008F24FC" w:rsidRPr="006F6DE9" w:rsidRDefault="008F24FC" w:rsidP="008F24FC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4FC" w:rsidRPr="006F6DE9" w:rsidRDefault="008F24FC" w:rsidP="008F24FC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Огороженная территория, при количестве постов технического обслуживания (ТО) и текущего ремонта (TP) более 10, должна иметь не менее двух выездов, находящихся на расстоянии не более 1500 м друг от друга. Ширина ворот автомобильных въездов должна быть не менее 4,5 м, а ширина ворот для железнодорожных въездов – не менее 4,9 м.</w:t>
      </w:r>
    </w:p>
    <w:p w:rsidR="008F24FC" w:rsidRPr="006F6DE9" w:rsidRDefault="008F24FC" w:rsidP="008F24FC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Расстояния между зданиями на территории предприятия, а также расстояния от зданий предприятия до объектов, находящихся вне территории предприятия, должны быть не менее предусмотренных СП 4.13130.</w:t>
      </w:r>
    </w:p>
    <w:p w:rsidR="001330D0" w:rsidRPr="006F6DE9" w:rsidRDefault="008F24FC" w:rsidP="008F24FC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Расстояние от резервуаров на площадках поста слива СУГ или выпуска КПГ до зданий и сооружений предприятий по обслуживанию автомобилей следует принимать по таблице 1.</w:t>
      </w: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8F24FC" w:rsidRPr="006F6DE9" w:rsidRDefault="008F24FC" w:rsidP="008F24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>Таблица 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2551"/>
      </w:tblGrid>
      <w:tr w:rsidR="006F6DE9" w:rsidRPr="006F6DE9" w:rsidTr="000F5390">
        <w:trPr>
          <w:trHeight w:val="20"/>
        </w:trPr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Здания и сооружения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Расстояние, </w:t>
            </w:r>
            <w:proofErr w:type="gramStart"/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, не менее</w:t>
            </w:r>
          </w:p>
        </w:tc>
      </w:tr>
      <w:tr w:rsidR="006F6DE9" w:rsidRPr="006F6DE9" w:rsidTr="000F5390">
        <w:trPr>
          <w:trHeight w:val="20"/>
        </w:trPr>
        <w:tc>
          <w:tcPr>
            <w:tcW w:w="51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до надземных (в числителе) и подземных (в знаменателе) резервуаров единичной ёмкости до 25 м</w:t>
            </w: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и общей до 50 м</w:t>
            </w: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до надземных (в числителе) и подземных (в знаменателе) резервуаров единичной ёмкости до 5 м</w:t>
            </w: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 xml:space="preserve"> и общей до 10 м</w:t>
            </w: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</w:tr>
      <w:tr w:rsidR="006F6DE9" w:rsidRPr="006F6DE9" w:rsidTr="000F5390">
        <w:trPr>
          <w:trHeight w:val="76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Производственные, складские, административные, бытовые здания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25/15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F5390" w:rsidRPr="006F6DE9" w:rsidRDefault="000F5390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15/8</w:t>
            </w:r>
          </w:p>
        </w:tc>
      </w:tr>
      <w:tr w:rsidR="006F6DE9" w:rsidRPr="006F6DE9" w:rsidTr="000F5390">
        <w:trPr>
          <w:trHeight w:val="56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4FC" w:rsidRPr="006F6DE9" w:rsidRDefault="008F24FC" w:rsidP="000F53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Общественные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4FC" w:rsidRPr="006F6DE9" w:rsidRDefault="008F24FC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50/40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24FC" w:rsidRPr="006F6DE9" w:rsidRDefault="008F24FC" w:rsidP="000F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</w:rPr>
              <w:t>25/15</w:t>
            </w:r>
          </w:p>
        </w:tc>
      </w:tr>
    </w:tbl>
    <w:p w:rsidR="008F24FC" w:rsidRPr="006F6DE9" w:rsidRDefault="008F24FC" w:rsidP="008F24F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24FC" w:rsidRPr="006F6DE9" w:rsidRDefault="008F24FC" w:rsidP="000F539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Минимальные расстояния от сбросной трубы паров СУГ и КПГ до зданий и сооружений предприятия определяется расчетом в соответствии с требованиями СП 156.13130.</w:t>
      </w:r>
    </w:p>
    <w:p w:rsidR="008F24FC" w:rsidRPr="006F6DE9" w:rsidRDefault="008F24FC" w:rsidP="000F539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Расстояния от площадки складирования дегазированных автомобильных баллонов до других объектов не нормируются.</w:t>
      </w:r>
    </w:p>
    <w:p w:rsidR="008F24FC" w:rsidRPr="006F6DE9" w:rsidRDefault="008F24FC" w:rsidP="000F539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Хранение баллонов с негорючими газами, в том числе порожних, в количестве до десяти штук каждого наименования допускается производить в отдельных вентилируемых металлических шкафах, устанавливаемых в простенках между оконными или дверными проёмами снаружи производственных зданий на расстоянии не менее 0,5 м до проема или на отдельных площадках под навесом из негорючих материалов.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Расстояние от площадки до глухих стен производственных зданий не нормируется.</w:t>
      </w:r>
    </w:p>
    <w:p w:rsidR="008F24FC" w:rsidRPr="006F6DE9" w:rsidRDefault="008F24FC" w:rsidP="000F539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Наименьшие расстояния от зданий складов, навесов, открытых площадок для хранения баллонов с кислородом, азотом, горючими газами в количестве более десяти до производственных и вспомогательных зданий должно быть не менее 20 м.</w:t>
      </w:r>
    </w:p>
    <w:p w:rsidR="000F5390" w:rsidRPr="006F6DE9" w:rsidRDefault="000F5390" w:rsidP="000F5390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0F5390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86E" w:rsidRPr="006F6DE9" w:rsidRDefault="002A486E" w:rsidP="002A486E">
      <w:pPr>
        <w:tabs>
          <w:tab w:val="left" w:pos="1276"/>
        </w:tabs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0F5390" w:rsidRPr="006F6DE9" w:rsidRDefault="000F5390" w:rsidP="002A486E">
      <w:pPr>
        <w:pStyle w:val="aa"/>
        <w:numPr>
          <w:ilvl w:val="0"/>
          <w:numId w:val="4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объёмно-планировочным и конструктивным решениям.</w:t>
      </w:r>
    </w:p>
    <w:p w:rsidR="00E27519" w:rsidRPr="006F6DE9" w:rsidRDefault="00E27519" w:rsidP="000F5390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7519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Степень огнестойкости, класс конструктивной пожарной опасности, высоту зданий для обслуживания автомобилей и площадь этажа в пределах пожарного отсека в зависимости от категории по взрывопожарной и пожарной опасности, следует принимать по таблице 6.1 СП 2.13130.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помещения для хранения автомобилей размещать совместно с помещениями для ТО и TP в здании I, II и III степени огнестойкости, класса конструктивной пожарной опасности не ниже С1 категорий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, Г и Д по пожарной опасности. Помещения для хранения автомобилей должны отделяться от других помещений противопожарными стенами 2-го типа и противопожарными перекрытиями 3-го типа.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шиномонтажные работы производить в помещении постов ТО и TP, а хранение автомобильных шин следует предусматривать в обособленном помещении, отделенном от примыкающих помещений противопожарными перегородками 1-го типа. Помещения для хранения автомобильных шин площадью более 50 м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располагаться у наружных стен с оконными проемами.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 отдельных помещениях здания следует предусматривать участки краскоприготовления, а также кладовые или склады для хранения:</w:t>
      </w:r>
    </w:p>
    <w:p w:rsidR="00E27519" w:rsidRPr="006F6DE9" w:rsidRDefault="000F5390" w:rsidP="00E27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смазочных материалов;</w:t>
      </w:r>
    </w:p>
    <w:p w:rsidR="000F5390" w:rsidRPr="006F6DE9" w:rsidRDefault="000F5390" w:rsidP="00E27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лакокрасочных материалов;</w:t>
      </w:r>
    </w:p>
    <w:p w:rsidR="000F5390" w:rsidRPr="006F6DE9" w:rsidRDefault="000F5390" w:rsidP="00E27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твёрдых горючих материалов (пластмасс, резины, упаковочных материалов).</w:t>
      </w:r>
    </w:p>
    <w:p w:rsidR="000F5390" w:rsidRPr="006F6DE9" w:rsidRDefault="000F5390" w:rsidP="00E27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Кладовые и склады горючих материалов и негорючих материалов в горючей упаковке следует размещать у наружных стен, отделяя их от смежных помещений и коридоров в зданиях 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огнестойкости противопожарными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перегородками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1-го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типа,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противопожарными </w:t>
      </w:r>
      <w:r w:rsidR="00F9440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94407"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  <w:r w:rsidR="00F94407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перекрытиями 3-го типа, в зданиях IV степени огнестойкости противопожарными перегородками 2-го типа и противопожарными перекрытиями 4-го типа.</w:t>
      </w:r>
      <w:proofErr w:type="gramEnd"/>
    </w:p>
    <w:p w:rsidR="000F5390" w:rsidRPr="006F6DE9" w:rsidRDefault="000F5390" w:rsidP="00E275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хранения лакокрасочных и смазочных материалов (в том числе и отработавших) должны располагаться у наружной стены здания с непосредственным выходом наружу. Допускается хранение в помещении не более 5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 м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жидких горючих смазочных и лакокрасочных материалов.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производства окраски автомобилей следует размещать у наружных стен, отделяя их от остальных помещений в зданиях I-III степени огнестойкости противопожарными перегородками 1-го типа, противопожарными перекрытиями 3-го типа, в зданиях IV степени огнестойкости противопожарными перегородками 2-го типа и противопожарными перекрытиями 4-го типа.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Окрасочно-сушильные камеры допускается располагать в помещениях ТО и ТР.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Теплогенератор,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обеспечивающий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теплом окрасочно-сушильные камеры, следует располагать в отдельном помещении (теплогенераторной), отделённом от остальных помещений в зданиях I-III степени огнестойкости противопожарными перегородками 1-го типа, противопожарными перекрытиями 3-го типа, в зданиях IV степени огнестойкости противопожарными перегородками 2-го типа и противопожарными перекрытиями 4-го типа.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Участки для выполнения газосварочных работ должны обеспечиваться централизованным газоснабжением.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использовать оборудование газовой резки и сварки с применением баллонов с горючим газом и кислородом.</w:t>
      </w:r>
    </w:p>
    <w:p w:rsidR="00F94407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При наличии постов ТО и TP до 10 включительно, посты для ремонта кузова с применением сварки допускается огораживать сплошными экранами из негорючих (НГ) материалов высотой не менее 2,5 м от пола, а при наличии</w:t>
      </w:r>
    </w:p>
    <w:p w:rsidR="00F94407" w:rsidRPr="006F6DE9" w:rsidRDefault="00F94407" w:rsidP="00F94407">
      <w:pPr>
        <w:tabs>
          <w:tab w:val="left" w:pos="1276"/>
        </w:tabs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0F5390" w:rsidRPr="006F6DE9" w:rsidRDefault="000F5390" w:rsidP="00F94407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постов ТО и TP свыше 10 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посты для ремонта кузова с применением сварки следует располагать в обособленном помещении, отделенном от примыкающих помещений противопожарными перегородками 1 -го типа.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Запасные баллоны с газами для сварки и резки следует хранить в соответствии с [2].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хранения ГБА и постов ТО и TP ГБА не допускается размещать в подземных этажах.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Мойку автомобилей допускается осуществлять в помещении постов ТО и ТР.</w:t>
      </w:r>
    </w:p>
    <w:p w:rsidR="000F5390" w:rsidRPr="006F6DE9" w:rsidRDefault="000F5390" w:rsidP="00E27519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 хранения и обслуживания автомобилей следует относить к пожароопасным категориям. При этом свободный объём помещения, определяемый по п.</w:t>
      </w:r>
      <w:r w:rsidR="00AA33B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А.1.4 СП 12.13130, должен превышать допустимый.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Допустимый объем помещений </w:t>
      </w:r>
      <w:proofErr w:type="gramStart"/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proofErr w:type="spellStart"/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доп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, м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, определяется по формуле:</w:t>
      </w:r>
    </w:p>
    <w:p w:rsidR="00E27519" w:rsidRPr="006F6DE9" w:rsidRDefault="00F64F8E" w:rsidP="00E27519">
      <w:pPr>
        <w:tabs>
          <w:tab w:val="left" w:pos="1276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доп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∙</m:t>
              </m: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∙z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5,58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                                                       (1)</m:t>
          </m:r>
        </m:oMath>
      </m:oMathPara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m </w:t>
      </w:r>
      <w:r w:rsidR="00AA33B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масса газа или паров топлива, которые могут поступить в окружающее пространство из топливной системы,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кг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A33BE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Т</w:t>
      </w:r>
      <w:r w:rsidR="00AA33B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удельная теплота сгорания топлива, МДж/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кг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 </w:t>
      </w:r>
      <w:r w:rsidR="00AA33B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коэффициент участия паров топлива во взрыве по СП 12.13130.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При определении массы газа, вышедшего из топливной системы автомобиля, допускается учитывать работу аварийной или общеобменной вентиляции согласно п. А.2.3 СП 12.13130.</w:t>
      </w:r>
    </w:p>
    <w:p w:rsidR="000F5390" w:rsidRPr="006F6DE9" w:rsidRDefault="000F5390" w:rsidP="00AA33BE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Если свободный объём помещения меньше минимально допустимого, определяемого по формуле (1), помещение должно быть оборудовано:</w:t>
      </w:r>
    </w:p>
    <w:p w:rsidR="000F5390" w:rsidRPr="006F6DE9" w:rsidRDefault="000F5390" w:rsidP="00355A63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 действующей системой автоматического контроля загазованности, сблокированной с включением общеобменной и аварийной вентиляции;</w:t>
      </w:r>
    </w:p>
    <w:p w:rsidR="000D026E" w:rsidRPr="006F6DE9" w:rsidRDefault="000D026E" w:rsidP="000D026E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355A63" w:rsidRPr="006F6DE9" w:rsidRDefault="000F5390" w:rsidP="00355A63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аварийной вентиляцией кратностью, определяемой расчетом, но не менее 5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объёмов в час с 100% резервированием вентиляторов;</w:t>
      </w:r>
    </w:p>
    <w:p w:rsidR="000F5390" w:rsidRPr="006F6DE9" w:rsidRDefault="000F5390" w:rsidP="00355A63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электроснабжением аварийной вентиляции по первой категории надёжности;</w:t>
      </w:r>
    </w:p>
    <w:p w:rsidR="000F5390" w:rsidRPr="006F6DE9" w:rsidRDefault="000F5390" w:rsidP="00355A63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взрывозащищенным электрооборудованием, соответствующим зоне 2-го класса по Правилам [3];</w:t>
      </w:r>
    </w:p>
    <w:p w:rsidR="000F5390" w:rsidRPr="006F6DE9" w:rsidRDefault="000F5390" w:rsidP="00355A63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легкосбрасываемыми конструкциями из расчёта 0,05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Start"/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помещения.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технического обслуживания ГБА при свободном объеме помещения более допустимого должны быть оборудованы непрерывно действующим автоматическим контролем загазованности и аварийной вентиляцией.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 помещениях для мойки ГБА при свободном объёме помещения меньше допустимого следует выполнять условия, приведённые в п.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7.11 настоящего свода правил.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Помещения для мойки ГБА при свободном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объёме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превышающем допустимый объём, рассчитываемый по формуле (1) без учёта снижения массы газа в случае наличия аварийной вентиляции, проектируются без дополнительных мероприятий, указанных в п. 6.11 настоящего свода правил.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Все работы с ГБА при снятых баллонах или при пустых дегазированных баллонах осуществляются без дополнительных требований, как для автомобилей, работающих на ЖМ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При совместном обслуживании автомобилей с двигателями, работающими на компримированном природном и сжиженном углеводородном газе, допускается предусматривать одну площадку под навесом для постов слива и выпуска газов, разделённую глухой перегородкой из негорючих материалов с ненормируемым пределом огнестойкости высотой, превышающей наибольшую высоту обслуживаемого подвижного состава не менее чем на 0,5</w:t>
      </w:r>
      <w:r w:rsidR="000D026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proofErr w:type="gramEnd"/>
    </w:p>
    <w:p w:rsidR="000D026E" w:rsidRPr="006F6DE9" w:rsidRDefault="000D026E" w:rsidP="000D026E">
      <w:pPr>
        <w:tabs>
          <w:tab w:val="left" w:pos="1418"/>
        </w:tabs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Посты выпуска газа и дегазации баллонов должны иметь шкафы для размещения не менее двух баллонов с негорючим продувочным газом, исключающим электролизацию при истечении, снабженных редуцирующими устройствами.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Труба для выпуска газа, образующегося при продувке топливного баллона продувочным газом, должна быть диаметром не менее 0,05 м и выводиться на высоту не менее 6 м от планировочной отметки земли (но не ниже высоты ближайшего здания).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производится регулировка газовой системы непосредственно на автомобиле, следует отделять от других производственных помещений и коридоров противопожарными перегородками 1-го типа, противопожарными перекрытиями 3-го типа.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административных и бытовых помещений в зданиях по обслуживанию автомобилей следует выполнять в соответствии с требованиями СП 4.13130.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Заправка автомобилей на предприятиях по обслуживанию автомобилей должна осуществляться в соответствии с СП 156.13130.</w:t>
      </w: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зарядки аккумуляторов следует предусматривать в соответствии с СП 4.13130.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зарядку герметичных аккумуляторов осуществлять в помещениях ТО и ТР.</w:t>
      </w:r>
    </w:p>
    <w:p w:rsidR="00355A63" w:rsidRPr="006F6DE9" w:rsidRDefault="00355A63" w:rsidP="00355A63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390" w:rsidRPr="006F6DE9" w:rsidRDefault="000F5390" w:rsidP="00355A63">
      <w:pPr>
        <w:pStyle w:val="aa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системам инженерно-технического обеспечения.</w:t>
      </w:r>
    </w:p>
    <w:p w:rsidR="00355A63" w:rsidRPr="006F6DE9" w:rsidRDefault="00355A63" w:rsidP="00355A63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5A63" w:rsidRPr="006F6DE9" w:rsidRDefault="000F5390" w:rsidP="00355A63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Отопление и вентиляция.</w:t>
      </w:r>
    </w:p>
    <w:p w:rsidR="00355A63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Помещения для обслуживания автомобилей следует обеспечивать общеобменной 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риточно-вытяжно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вентиляцией с механическим побуждением, а отдельные участки с выделением пожаровзрывоопасных газов, паров и пылей </w:t>
      </w:r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местными отсосами.</w:t>
      </w:r>
    </w:p>
    <w:p w:rsidR="000D026E" w:rsidRPr="006F6DE9" w:rsidRDefault="000D026E" w:rsidP="000D026E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 системах местных отсосов концентрация удаляемых горючих газов, паров, аэрозолей и пыли в воздухе не должна превышать 50% НКПР при температуре удаляемой смеси.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Системы вытяжной вентиляции помещений для размещения окрасочного и аккумуляторного участков не допускается объединять между собой и с системами вытяжной вентиляции других помещений.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обеспечения помещений противодымной вентиляцией устанавливается в соответствии с положениями СП 7.13130.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воздуховодах приточных систем в пределах </w:t>
      </w: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венткамер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, обслуживающих помещения, в которых производятся работы с ГБА, следует предусматривать устройство обратных клапанов.</w:t>
      </w:r>
    </w:p>
    <w:p w:rsidR="00355A63" w:rsidRPr="006F6DE9" w:rsidRDefault="00355A63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390" w:rsidRPr="006F6DE9" w:rsidRDefault="000F5390" w:rsidP="00355A63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Пожаротушение, сигнализация и оповещение.</w:t>
      </w:r>
    </w:p>
    <w:p w:rsidR="00355A63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Противопожарное водоснабжение следует предусматривать в соответствии с требованиями СП 8.1313 и СП 10.13130.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Автоматическим пожаротушением должны быть оборудованы складские помещения для хранения автомобильных шин, смазочных материалов, площадью 200 м</w:t>
      </w:r>
      <w:proofErr w:type="gramStart"/>
      <w:r w:rsidR="00355A63"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более.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Системами автоматической пожарной сигнализации обеспечиваются все производственные, складские и административно-бытовые помещения, а также технические помещения для инженерного оборудования здания (в том числе теплогенераторные и дизель-генераторные помещения), кроме помещений, указанных в п. А.4 СП 5.13130.</w:t>
      </w:r>
    </w:p>
    <w:p w:rsidR="000F5390" w:rsidRPr="006F6DE9" w:rsidRDefault="000F5390" w:rsidP="00355A63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Сигнализаторами довзрывоопасных концентраций обеспечиваются все помещения независимо от площади, в которых возможно выделение горючих газов, паров топлива и растворителей лакокрасочных материалов. Указанные сигнализаторы должны обеспечивать выдачу командного импульса на включение аварийной вентиляции при достижении концентрации газов и паров выше 10% НКПР.</w:t>
      </w:r>
    </w:p>
    <w:p w:rsidR="000F5390" w:rsidRPr="006F6DE9" w:rsidRDefault="000F5390" w:rsidP="00B75A4E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Помещения в здании для обслуживания автомобилей обеспечиваются ручными и передвижными огнетушителями, а территория пожарными щитами, в соответствии с нормами, указанными в Правилах [3] и СП</w:t>
      </w:r>
      <w:r w:rsidR="00B75A4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9.13130.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Для тушения пожаров в помещениях для обслуживания автомобилей необходимо предусматривать следующий тип огнетушителей:</w:t>
      </w:r>
    </w:p>
    <w:p w:rsidR="000F5390" w:rsidRPr="006F6DE9" w:rsidRDefault="000F5390" w:rsidP="00B75A4E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воздушно-пенные с объемом заряда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ОТВ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8 литров;</w:t>
      </w:r>
    </w:p>
    <w:p w:rsidR="000F5390" w:rsidRPr="006F6DE9" w:rsidRDefault="000F5390" w:rsidP="00B75A4E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воздушно-эмульсионные с объемом заряда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ОТВ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5 литров;</w:t>
      </w:r>
    </w:p>
    <w:p w:rsidR="000F5390" w:rsidRPr="006F6DE9" w:rsidRDefault="000F5390" w:rsidP="00B75A4E">
      <w:pPr>
        <w:pStyle w:val="aa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порошковые с массой заряда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ОТВ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4 кг.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обслуживания автомобилей с двигателями, работающими на ЖМТ, должны оснащаться покрывалами для изоляции очага возгорания из расчета 2</w:t>
      </w:r>
      <w:r w:rsidR="00B75A4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покрывала на каждые полные и неполные 1000 м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помещения.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Минимальный размер покрывала для изоляции очага возгорания должен составлять 1500 х 2000 мм, максимальная температура применения 1000 °С.</w:t>
      </w:r>
    </w:p>
    <w:p w:rsidR="000F5390" w:rsidRPr="006F6DE9" w:rsidRDefault="000F5390" w:rsidP="00E2751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огнетушителей и покрывал для изоляции очага возгорания должно осуществляться в легкодоступных местах помещений на стенах в металлических кронштейнах с защелкой.</w:t>
      </w:r>
    </w:p>
    <w:p w:rsidR="000F5390" w:rsidRPr="006F6DE9" w:rsidRDefault="000F5390" w:rsidP="00B75A4E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Здания и сооружения для обслуживания автомобилей должны быть оборудованы системой оповещения и управления эвакуацией (СОУЭ) при пожаре в соответствии с таблицей 2.</w:t>
      </w:r>
    </w:p>
    <w:p w:rsidR="000F5390" w:rsidRPr="006F6DE9" w:rsidRDefault="000F5390" w:rsidP="00B75A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pacing w:val="60"/>
          <w:sz w:val="28"/>
          <w:szCs w:val="28"/>
        </w:rPr>
        <w:t>Таблица 2.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44"/>
        <w:gridCol w:w="2006"/>
        <w:gridCol w:w="1003"/>
        <w:gridCol w:w="1003"/>
        <w:gridCol w:w="1003"/>
        <w:gridCol w:w="1008"/>
        <w:gridCol w:w="1344"/>
      </w:tblGrid>
      <w:tr w:rsidR="006F6DE9" w:rsidRPr="006F6DE9" w:rsidTr="00F02D5A">
        <w:trPr>
          <w:trHeight w:val="20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Здания и сооружения по обслуживанию автомобилей</w:t>
            </w:r>
          </w:p>
        </w:tc>
        <w:tc>
          <w:tcPr>
            <w:tcW w:w="20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Количество этажей</w:t>
            </w:r>
          </w:p>
        </w:tc>
        <w:tc>
          <w:tcPr>
            <w:tcW w:w="53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Тип СОУЭ</w:t>
            </w:r>
          </w:p>
        </w:tc>
      </w:tr>
      <w:tr w:rsidR="006F6DE9" w:rsidRPr="006F6DE9" w:rsidTr="00B75A4E">
        <w:trPr>
          <w:trHeight w:val="5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F6DE9" w:rsidRPr="006F6DE9" w:rsidTr="001D67BD">
        <w:trPr>
          <w:trHeight w:val="20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1-3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 w:themeColor="text1"/>
                <w:sz w:val="26"/>
                <w:szCs w:val="26"/>
              </w:rPr>
            </w:pPr>
            <w:r w:rsidRPr="006F6DE9">
              <w:rPr>
                <w:rFonts w:ascii="Calibri" w:eastAsiaTheme="minorHAnsi" w:hAnsi="Calibri" w:cs="Calibri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F6DE9" w:rsidRPr="006F6DE9" w:rsidTr="001D67BD">
        <w:trPr>
          <w:trHeight w:val="20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4 и более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</w:pPr>
            <w:r w:rsidRPr="006F6DE9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A4E" w:rsidRPr="006F6DE9" w:rsidRDefault="00B75A4E" w:rsidP="00B75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0F5390" w:rsidRPr="006F6DE9" w:rsidRDefault="000F5390" w:rsidP="000F5390">
      <w:p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390" w:rsidRPr="006F6DE9" w:rsidRDefault="000F5390" w:rsidP="00A02BC1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Электроснабжение.</w:t>
      </w:r>
    </w:p>
    <w:p w:rsidR="00A02BC1" w:rsidRPr="006F6DE9" w:rsidRDefault="000F5390" w:rsidP="00A02BC1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Электроприёмники</w:t>
      </w:r>
      <w:proofErr w:type="spell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 противопожарной защиты, автоматического контроля воздушной среды, аварийного и эвакуационного освещения, сигнализации и вытяжной вентиляции во взрывозащищённом </w:t>
      </w:r>
      <w:r w:rsidR="000D026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D026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0D026E"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  <w:r w:rsidR="000D026E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исполнении следует относить к электроприёмникам I категории надёжности электроснабжения.</w:t>
      </w:r>
    </w:p>
    <w:p w:rsidR="000F5390" w:rsidRPr="006F6DE9" w:rsidRDefault="000F5390" w:rsidP="00A02BC1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Для электроснабжения предприятий по обслуживанию автомобилей допускается использовать генераторы, работающие на жидком и газовом топливе. Генераторы должны размещаться в отдельном здании (в том числе мобильном), отдельном помещении или на площадке с навесом. Генераторы, работающие на газовом топливе, допускается размещать на покрытии зданий I-III степени огнестойкости при соблюдении требований СП 4.13130.</w:t>
      </w:r>
    </w:p>
    <w:p w:rsidR="000F5390" w:rsidRPr="006F6DE9" w:rsidRDefault="000F5390" w:rsidP="00A02BC1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Категория помещения дизель-генераторной по взрывопожарной и пожарной опасности должна быть не опаснее В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5390" w:rsidRPr="006F6DE9" w:rsidRDefault="000F5390" w:rsidP="00A02BC1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Противопожарное расстояние между площадкой с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дизель-генератором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другими объектами должно составлять при наличии оконных и дверных проёмов в стене, обращенной к площадке, 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2D"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15 м; при глухой стене 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менее 8 м.</w:t>
      </w:r>
    </w:p>
    <w:p w:rsidR="000F5390" w:rsidRPr="006F6DE9" w:rsidRDefault="000F5390" w:rsidP="00A02BC1">
      <w:pPr>
        <w:pStyle w:val="aa"/>
        <w:numPr>
          <w:ilvl w:val="2"/>
          <w:numId w:val="4"/>
        </w:numPr>
        <w:tabs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Допускается размещать площадку с </w:t>
      </w:r>
      <w:proofErr w:type="gramStart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дизель-генератором</w:t>
      </w:r>
      <w:proofErr w:type="gramEnd"/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непосредственно у противопожарной стены 1-го типа здания.</w:t>
      </w:r>
    </w:p>
    <w:p w:rsidR="00A02BC1" w:rsidRPr="006F6DE9" w:rsidRDefault="00A02B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D026E" w:rsidRPr="006F6DE9" w:rsidRDefault="000D026E" w:rsidP="000D026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0D026E" w:rsidRPr="006F6DE9" w:rsidRDefault="000D026E" w:rsidP="00A02B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5390" w:rsidRPr="006F6DE9" w:rsidRDefault="000F5390" w:rsidP="00A02BC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Библиография</w:t>
      </w:r>
    </w:p>
    <w:p w:rsidR="00A02BC1" w:rsidRPr="006F6DE9" w:rsidRDefault="00A02BC1" w:rsidP="00A02BC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2BC1" w:rsidRPr="006F6DE9" w:rsidRDefault="000F5390" w:rsidP="00A02BC1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[1]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Технический регламент таможенного союза TP и ТС 018/2011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09.12.2011 №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877 «О безопасности колесных транспортных средств»</w:t>
      </w:r>
    </w:p>
    <w:p w:rsidR="00A02BC1" w:rsidRPr="006F6DE9" w:rsidRDefault="000F5390" w:rsidP="00A02BC1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[2]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22 июля 2008 г. № 123-ФЗ «Технический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 о требованиях пожарной безопасности»</w:t>
      </w:r>
    </w:p>
    <w:p w:rsidR="000F5390" w:rsidRPr="006F6DE9" w:rsidRDefault="000F5390" w:rsidP="00A02BC1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[3]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Правила противопожарного режима в Российской Федерации, утвержден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Правительства Российской Федерации от 25 апреля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2012 г. №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390</w:t>
      </w:r>
    </w:p>
    <w:p w:rsidR="00A02BC1" w:rsidRPr="006F6DE9" w:rsidRDefault="00A02BC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D026E" w:rsidRPr="006F6DE9" w:rsidRDefault="000D026E" w:rsidP="000D026E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СП</w:t>
      </w: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390" w:rsidRPr="006F6DE9" w:rsidRDefault="000F5390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УДК 614.841.45:629.114.6:006.354</w:t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A02BC1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</w:t>
      </w:r>
      <w:r w:rsidR="00EB2DEC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ОКС 13.220.01</w:t>
      </w:r>
    </w:p>
    <w:p w:rsidR="00A02BC1" w:rsidRPr="006F6DE9" w:rsidRDefault="00A02BC1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026E" w:rsidRPr="006F6DE9" w:rsidRDefault="000D026E" w:rsidP="00A0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5390" w:rsidRPr="006F6DE9" w:rsidRDefault="000F5390" w:rsidP="00A02B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слова: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обслуживание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автомобилей,</w:t>
      </w:r>
      <w:r w:rsidR="00E27519"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F6DE9">
        <w:rPr>
          <w:rFonts w:ascii="Times New Roman" w:hAnsi="Times New Roman" w:cs="Times New Roman"/>
          <w:color w:val="000000" w:themeColor="text1"/>
          <w:sz w:val="28"/>
          <w:szCs w:val="28"/>
        </w:rPr>
        <w:t>газобаллонные автомобили, пожарная безопасность</w:t>
      </w:r>
    </w:p>
    <w:sectPr w:rsidR="000F5390" w:rsidRPr="006F6DE9" w:rsidSect="002A486E"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F8E" w:rsidRDefault="00F64F8E" w:rsidP="008A7A30">
      <w:pPr>
        <w:spacing w:after="0" w:line="240" w:lineRule="auto"/>
      </w:pPr>
      <w:r>
        <w:separator/>
      </w:r>
    </w:p>
  </w:endnote>
  <w:endnote w:type="continuationSeparator" w:id="0">
    <w:p w:rsidR="00F64F8E" w:rsidRDefault="00F64F8E" w:rsidP="008A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D4" w:rsidRDefault="00E63FD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F8E" w:rsidRDefault="00F64F8E" w:rsidP="008A7A30">
      <w:pPr>
        <w:spacing w:after="0" w:line="240" w:lineRule="auto"/>
      </w:pPr>
      <w:r>
        <w:separator/>
      </w:r>
    </w:p>
  </w:footnote>
  <w:footnote w:type="continuationSeparator" w:id="0">
    <w:p w:rsidR="00F64F8E" w:rsidRDefault="00F64F8E" w:rsidP="008A7A30">
      <w:pPr>
        <w:spacing w:after="0" w:line="240" w:lineRule="auto"/>
      </w:pPr>
      <w:r>
        <w:continuationSeparator/>
      </w:r>
    </w:p>
  </w:footnote>
  <w:footnote w:id="1">
    <w:p w:rsidR="00E10CC2" w:rsidRPr="00E10CC2" w:rsidRDefault="00E10CC2" w:rsidP="00E10CC2">
      <w:pPr>
        <w:pStyle w:val="a7"/>
        <w:jc w:val="both"/>
        <w:rPr>
          <w:rFonts w:ascii="Times New Roman" w:hAnsi="Times New Roman" w:cs="Times New Roman"/>
        </w:rPr>
      </w:pPr>
      <w:r w:rsidRPr="00E10CC2">
        <w:rPr>
          <w:rStyle w:val="a9"/>
          <w:rFonts w:ascii="Times New Roman" w:hAnsi="Times New Roman" w:cs="Times New Roman"/>
        </w:rPr>
        <w:footnoteRef/>
      </w:r>
      <w:r w:rsidRPr="00E10CC2">
        <w:rPr>
          <w:rFonts w:ascii="Times New Roman" w:hAnsi="Times New Roman" w:cs="Times New Roman"/>
        </w:rPr>
        <w:t xml:space="preserve"> </w:t>
      </w:r>
      <w:r w:rsidRPr="00E10CC2">
        <w:rPr>
          <w:rFonts w:ascii="Times New Roman" w:eastAsiaTheme="minorHAnsi" w:hAnsi="Times New Roman" w:cs="Times New Roman"/>
          <w:color w:val="000000"/>
        </w:rPr>
        <w:t xml:space="preserve">Собрание законодательства Российской Федерации, 2008, № 30 (ч. I), ст. 3579; 2012, № 29, ст. 3997; 2013, № 27, ст. 3477; 2014, № 26 (ч.1), ст. 3366; 2015, № 29 (ч. I), ст. 4360; 2016, № </w:t>
      </w:r>
      <w:r w:rsidRPr="00E10CC2">
        <w:rPr>
          <w:rFonts w:ascii="Times New Roman" w:eastAsiaTheme="minorHAnsi" w:hAnsi="Times New Roman" w:cs="Times New Roman"/>
          <w:i/>
          <w:iCs/>
          <w:color w:val="000000"/>
        </w:rPr>
        <w:t xml:space="preserve">21, </w:t>
      </w:r>
      <w:r w:rsidRPr="00E10CC2">
        <w:rPr>
          <w:rFonts w:ascii="Times New Roman" w:eastAsiaTheme="minorHAnsi" w:hAnsi="Times New Roman" w:cs="Times New Roman"/>
          <w:color w:val="000000"/>
        </w:rPr>
        <w:t>(ч. I), ст. 4234; 2017, № 31 (ч. I), ст. 4793.</w:t>
      </w:r>
    </w:p>
  </w:footnote>
  <w:footnote w:id="2">
    <w:p w:rsidR="00E10CC2" w:rsidRPr="00E10CC2" w:rsidRDefault="00E10CC2" w:rsidP="00E10CC2">
      <w:pPr>
        <w:pStyle w:val="a7"/>
        <w:jc w:val="both"/>
        <w:rPr>
          <w:rFonts w:ascii="Times New Roman" w:hAnsi="Times New Roman" w:cs="Times New Roman"/>
        </w:rPr>
      </w:pPr>
      <w:r w:rsidRPr="00E10CC2">
        <w:rPr>
          <w:rStyle w:val="a9"/>
          <w:rFonts w:ascii="Times New Roman" w:hAnsi="Times New Roman" w:cs="Times New Roman"/>
        </w:rPr>
        <w:footnoteRef/>
      </w:r>
      <w:r w:rsidRPr="00E10CC2">
        <w:rPr>
          <w:rFonts w:ascii="Times New Roman" w:hAnsi="Times New Roman" w:cs="Times New Roman"/>
        </w:rPr>
        <w:t xml:space="preserve"> </w:t>
      </w:r>
      <w:proofErr w:type="gramStart"/>
      <w:r w:rsidRPr="00E10CC2">
        <w:rPr>
          <w:rFonts w:ascii="Times New Roman" w:hAnsi="Times New Roman" w:cs="Times New Roman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 (ч. 3), ст. 6903; 2011, № 1, ст. ст. 193, 194, № 2, ст. 267, № 40, ст. 5532;</w:t>
      </w:r>
      <w:proofErr w:type="gramEnd"/>
      <w:r w:rsidRPr="00E10CC2">
        <w:rPr>
          <w:rFonts w:ascii="Times New Roman" w:hAnsi="Times New Roman" w:cs="Times New Roman"/>
        </w:rPr>
        <w:t xml:space="preserve"> </w:t>
      </w:r>
      <w:proofErr w:type="gramStart"/>
      <w:r w:rsidRPr="00E10CC2">
        <w:rPr>
          <w:rFonts w:ascii="Times New Roman" w:hAnsi="Times New Roman" w:cs="Times New Roman"/>
        </w:rPr>
        <w:t>2012, № 2, ст. 243, № 6, ст. 643, № 19, ст. 2329, № 47, ст. 6455; 2013, № 26, ст. 3314, № 52 (ч. II), ст. 7137; 2014, № 11, ст. 1131, № 27, ст. 3754; 2015, № 4, ст. 641, № 11, ст. 1588; 2016, № 1 (ч. II), ст. 211, № 31, ст. 4987, № 39, ст. 5626; 2017, № 13, ст. 1913, № 44, ст. 6492.</w:t>
      </w:r>
      <w:proofErr w:type="gramEnd"/>
    </w:p>
  </w:footnote>
  <w:footnote w:id="3">
    <w:p w:rsidR="00E10CC2" w:rsidRPr="00E10CC2" w:rsidRDefault="00E10CC2" w:rsidP="00E10CC2">
      <w:pPr>
        <w:pStyle w:val="a7"/>
        <w:jc w:val="both"/>
        <w:rPr>
          <w:rFonts w:ascii="Times New Roman" w:hAnsi="Times New Roman" w:cs="Times New Roman"/>
        </w:rPr>
      </w:pPr>
      <w:r w:rsidRPr="00E10CC2">
        <w:rPr>
          <w:rStyle w:val="a9"/>
          <w:rFonts w:ascii="Times New Roman" w:hAnsi="Times New Roman" w:cs="Times New Roman"/>
        </w:rPr>
        <w:footnoteRef/>
      </w:r>
      <w:r w:rsidRPr="00E10CC2">
        <w:rPr>
          <w:rFonts w:ascii="Times New Roman" w:hAnsi="Times New Roman" w:cs="Times New Roman"/>
        </w:rPr>
        <w:t xml:space="preserve"> </w:t>
      </w:r>
      <w:r w:rsidRPr="00E10CC2">
        <w:rPr>
          <w:rFonts w:ascii="Times New Roman" w:eastAsiaTheme="minorHAnsi" w:hAnsi="Times New Roman" w:cs="Times New Roman"/>
          <w:color w:val="000000"/>
        </w:rPr>
        <w:t>Собрание законодательства Российской Федерации, 2016, № 28, ст. 4749.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745"/>
    <w:multiLevelType w:val="multilevel"/>
    <w:tmpl w:val="F47495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1AF12CC"/>
    <w:multiLevelType w:val="hybridMultilevel"/>
    <w:tmpl w:val="F04655D8"/>
    <w:lvl w:ilvl="0" w:tplc="0344BD1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2922173"/>
    <w:multiLevelType w:val="hybridMultilevel"/>
    <w:tmpl w:val="002C07A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DE705EC"/>
    <w:multiLevelType w:val="hybridMultilevel"/>
    <w:tmpl w:val="78A6F3B8"/>
    <w:lvl w:ilvl="0" w:tplc="8760DA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26CEC"/>
    <w:multiLevelType w:val="hybridMultilevel"/>
    <w:tmpl w:val="9AB6C400"/>
    <w:lvl w:ilvl="0" w:tplc="3B3E49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A83"/>
    <w:rsid w:val="000D026E"/>
    <w:rsid w:val="000F5390"/>
    <w:rsid w:val="001102E2"/>
    <w:rsid w:val="001330D0"/>
    <w:rsid w:val="002A486E"/>
    <w:rsid w:val="002C7BE0"/>
    <w:rsid w:val="00355A63"/>
    <w:rsid w:val="00356FD2"/>
    <w:rsid w:val="003F24F8"/>
    <w:rsid w:val="00457DDD"/>
    <w:rsid w:val="005576F8"/>
    <w:rsid w:val="006117D0"/>
    <w:rsid w:val="006652D9"/>
    <w:rsid w:val="006A1888"/>
    <w:rsid w:val="006E4928"/>
    <w:rsid w:val="006F6DE9"/>
    <w:rsid w:val="00783297"/>
    <w:rsid w:val="00797891"/>
    <w:rsid w:val="007A44D9"/>
    <w:rsid w:val="007D58C7"/>
    <w:rsid w:val="008A7A30"/>
    <w:rsid w:val="008D6C52"/>
    <w:rsid w:val="008F24FC"/>
    <w:rsid w:val="00980A83"/>
    <w:rsid w:val="00A02BC1"/>
    <w:rsid w:val="00AA33BE"/>
    <w:rsid w:val="00AD64CD"/>
    <w:rsid w:val="00B75A4E"/>
    <w:rsid w:val="00B85D17"/>
    <w:rsid w:val="00E10CC2"/>
    <w:rsid w:val="00E25147"/>
    <w:rsid w:val="00E27519"/>
    <w:rsid w:val="00E63FD4"/>
    <w:rsid w:val="00EB2DEC"/>
    <w:rsid w:val="00ED364C"/>
    <w:rsid w:val="00F42E63"/>
    <w:rsid w:val="00F45BC3"/>
    <w:rsid w:val="00F64F8E"/>
    <w:rsid w:val="00F9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A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8A7A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7A30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12">
    <w:name w:val="Заголовок №1 (2)_"/>
    <w:basedOn w:val="a0"/>
    <w:link w:val="120"/>
    <w:locked/>
    <w:rsid w:val="008A7A30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8A7A30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  <w:lang w:eastAsia="en-US"/>
    </w:rPr>
  </w:style>
  <w:style w:type="table" w:styleId="a3">
    <w:name w:val="Table Grid"/>
    <w:basedOn w:val="a1"/>
    <w:uiPriority w:val="59"/>
    <w:rsid w:val="008A7A3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A7A30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A3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0">
    <w:name w:val="Style0"/>
    <w:basedOn w:val="a"/>
    <w:rsid w:val="008A7A30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8A7A3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A7A30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A7A30"/>
    <w:rPr>
      <w:vertAlign w:val="superscript"/>
    </w:rPr>
  </w:style>
  <w:style w:type="paragraph" w:styleId="aa">
    <w:name w:val="List Paragraph"/>
    <w:basedOn w:val="a"/>
    <w:uiPriority w:val="34"/>
    <w:qFormat/>
    <w:rsid w:val="001330D0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AA33BE"/>
    <w:rPr>
      <w:color w:val="808080"/>
    </w:rPr>
  </w:style>
  <w:style w:type="paragraph" w:styleId="ac">
    <w:name w:val="header"/>
    <w:basedOn w:val="a"/>
    <w:link w:val="ad"/>
    <w:uiPriority w:val="99"/>
    <w:unhideWhenUsed/>
    <w:rsid w:val="0055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76F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55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76F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A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A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locked/>
    <w:rsid w:val="008A7A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A7A30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12">
    <w:name w:val="Заголовок №1 (2)_"/>
    <w:basedOn w:val="a0"/>
    <w:link w:val="120"/>
    <w:locked/>
    <w:rsid w:val="008A7A30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8A7A30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  <w:lang w:eastAsia="en-US"/>
    </w:rPr>
  </w:style>
  <w:style w:type="table" w:styleId="a3">
    <w:name w:val="Table Grid"/>
    <w:basedOn w:val="a1"/>
    <w:uiPriority w:val="59"/>
    <w:rsid w:val="008A7A3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A7A30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A3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0">
    <w:name w:val="Style0"/>
    <w:basedOn w:val="a"/>
    <w:rsid w:val="008A7A30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8A7A3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A7A30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A7A30"/>
    <w:rPr>
      <w:vertAlign w:val="superscript"/>
    </w:rPr>
  </w:style>
  <w:style w:type="paragraph" w:styleId="aa">
    <w:name w:val="List Paragraph"/>
    <w:basedOn w:val="a"/>
    <w:uiPriority w:val="34"/>
    <w:qFormat/>
    <w:rsid w:val="001330D0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AA33BE"/>
    <w:rPr>
      <w:color w:val="808080"/>
    </w:rPr>
  </w:style>
  <w:style w:type="paragraph" w:styleId="ac">
    <w:name w:val="header"/>
    <w:basedOn w:val="a"/>
    <w:link w:val="ad"/>
    <w:uiPriority w:val="99"/>
    <w:unhideWhenUsed/>
    <w:rsid w:val="0055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76F8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557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76F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trebovaniya-pozharnoj-bezopas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E2A9E-3911-457B-BDC4-71E89BE6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20</Pages>
  <Words>3652</Words>
  <Characters>20822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2018-07-06T17:27:00Z</dcterms:created>
  <dcterms:modified xsi:type="dcterms:W3CDTF">2018-07-19T15:17:00Z</dcterms:modified>
</cp:coreProperties>
</file>