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0B363D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0B363D">
        <w:rPr>
          <w:sz w:val="28"/>
          <w:szCs w:val="28"/>
        </w:rPr>
        <w:t>МИНИСТЕРСТВО РОССИЙСКОЙ ФЕДЕРАЦИИ</w:t>
      </w:r>
      <w:r w:rsidRPr="000B363D">
        <w:rPr>
          <w:sz w:val="28"/>
          <w:szCs w:val="28"/>
        </w:rPr>
        <w:br/>
        <w:t>ПО ДЕЛАМ ГРАЖДАНСКОЙ ОБОРОНЫ,</w:t>
      </w:r>
      <w:r w:rsidR="00D64F60" w:rsidRPr="000B363D">
        <w:rPr>
          <w:sz w:val="28"/>
          <w:szCs w:val="28"/>
        </w:rPr>
        <w:t xml:space="preserve"> </w:t>
      </w:r>
      <w:r w:rsidRPr="000B363D">
        <w:rPr>
          <w:sz w:val="28"/>
          <w:szCs w:val="28"/>
        </w:rPr>
        <w:t>ЧРЕЗВЫЧАЙНЫМ СИТУАЦИЯМ И ЛИКВИДАЦИИ ПОСЛЕДСТВИЙ</w:t>
      </w:r>
      <w:r w:rsidR="00D64F60" w:rsidRPr="000B363D">
        <w:rPr>
          <w:sz w:val="28"/>
          <w:szCs w:val="28"/>
        </w:rPr>
        <w:t xml:space="preserve"> </w:t>
      </w:r>
      <w:r w:rsidRPr="000B363D">
        <w:rPr>
          <w:sz w:val="28"/>
          <w:szCs w:val="28"/>
        </w:rPr>
        <w:t>СТИХИЙНЫХ БЕДСТВИЙ</w:t>
      </w:r>
    </w:p>
    <w:p w:rsidR="00C037B6" w:rsidRPr="000B363D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0B363D">
        <w:rPr>
          <w:sz w:val="28"/>
          <w:szCs w:val="28"/>
        </w:rPr>
        <w:t>(МЧС РОССИИ)</w:t>
      </w:r>
    </w:p>
    <w:p w:rsidR="007B09B3" w:rsidRPr="000B363D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6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8E2E2E" wp14:editId="198E8BEE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B363D" w:rsidRPr="000B363D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0B363D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0B363D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0B363D">
        <w:rPr>
          <w:szCs w:val="28"/>
        </w:rPr>
        <w:t>ПРИКАЗ</w:t>
      </w:r>
      <w:bookmarkEnd w:id="0"/>
    </w:p>
    <w:p w:rsidR="007B09B3" w:rsidRPr="000B363D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0B363D" w:rsidRPr="000B363D" w:rsidTr="0025314B">
        <w:trPr>
          <w:trHeight w:val="346"/>
        </w:trPr>
        <w:tc>
          <w:tcPr>
            <w:tcW w:w="3419" w:type="dxa"/>
            <w:hideMark/>
          </w:tcPr>
          <w:p w:rsidR="007B09B3" w:rsidRPr="000B363D" w:rsidRDefault="00A32F2E" w:rsidP="0058396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 w:rsidRPr="000B363D">
              <w:rPr>
                <w:b w:val="0"/>
                <w:sz w:val="28"/>
                <w:szCs w:val="28"/>
                <w:u w:val="single"/>
              </w:rPr>
              <w:t>26</w:t>
            </w:r>
            <w:r w:rsidR="007577A2" w:rsidRPr="000B363D">
              <w:rPr>
                <w:b w:val="0"/>
                <w:sz w:val="28"/>
                <w:szCs w:val="28"/>
                <w:u w:val="single"/>
              </w:rPr>
              <w:t>.</w:t>
            </w:r>
            <w:r w:rsidR="00583961" w:rsidRPr="000B363D">
              <w:rPr>
                <w:b w:val="0"/>
                <w:sz w:val="28"/>
                <w:szCs w:val="28"/>
                <w:u w:val="single"/>
              </w:rPr>
              <w:t>1</w:t>
            </w:r>
            <w:r w:rsidR="00B35220" w:rsidRPr="000B363D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0B363D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0B363D">
              <w:rPr>
                <w:b w:val="0"/>
                <w:sz w:val="28"/>
                <w:szCs w:val="28"/>
                <w:u w:val="single"/>
              </w:rPr>
              <w:t>1</w:t>
            </w:r>
            <w:r w:rsidR="00B62C68" w:rsidRPr="000B363D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0B363D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0B363D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0B363D" w:rsidRDefault="007B09B3" w:rsidP="00A32F2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0B363D">
              <w:rPr>
                <w:b w:val="0"/>
                <w:sz w:val="28"/>
                <w:szCs w:val="28"/>
              </w:rPr>
              <w:t xml:space="preserve">№ </w:t>
            </w:r>
            <w:r w:rsidR="00583961" w:rsidRPr="000B363D">
              <w:rPr>
                <w:b w:val="0"/>
                <w:sz w:val="28"/>
                <w:szCs w:val="28"/>
                <w:u w:val="single"/>
              </w:rPr>
              <w:t>4</w:t>
            </w:r>
            <w:r w:rsidR="00A32F2E" w:rsidRPr="000B363D">
              <w:rPr>
                <w:b w:val="0"/>
                <w:sz w:val="28"/>
                <w:szCs w:val="28"/>
                <w:u w:val="single"/>
              </w:rPr>
              <w:t>74</w:t>
            </w:r>
          </w:p>
        </w:tc>
      </w:tr>
    </w:tbl>
    <w:p w:rsidR="00931093" w:rsidRPr="000B363D" w:rsidRDefault="00931093" w:rsidP="00A32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0B363D" w:rsidRDefault="00A32F2E" w:rsidP="00A32F2E">
      <w:pPr>
        <w:spacing w:after="0" w:line="240" w:lineRule="auto"/>
        <w:jc w:val="center"/>
        <w:rPr>
          <w:sz w:val="24"/>
          <w:lang w:bidi="ru-RU"/>
        </w:rPr>
      </w:pPr>
      <w:r w:rsidRPr="000B363D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системы управления МЧС России</w:t>
      </w:r>
    </w:p>
    <w:p w:rsidR="006F3AE9" w:rsidRPr="000B363D" w:rsidRDefault="006F3AE9" w:rsidP="00BA1BD0">
      <w:pPr>
        <w:pStyle w:val="20"/>
        <w:shd w:val="clear" w:color="auto" w:fill="auto"/>
        <w:spacing w:before="0" w:line="288" w:lineRule="auto"/>
        <w:jc w:val="center"/>
        <w:rPr>
          <w:lang w:bidi="ru-RU"/>
        </w:rPr>
      </w:pP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proofErr w:type="gramStart"/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В целях реализации решения коллегии МЧС России от 27 марта 2017 г. № 6/1 «О развитии Национального центра управления в кризисных ситуациях, центров управления в кризисных ситуациях главных управлений МЧС России по субъектам Российской Федерации и современной архитектуры управления МЧС России в 2017 году», Плана мероприятий МЧС России по реализации Основ государственной политики Российской Федерации в области </w:t>
      </w:r>
      <w:hyperlink r:id="rId10" w:history="1">
        <w:r w:rsidRPr="000B363D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гражданской обороны</w:t>
        </w:r>
      </w:hyperlink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на</w:t>
      </w:r>
      <w:proofErr w:type="gramEnd"/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период до 2030 года утвержденного приказом МЧС России от 23.01.2017 № 21, а также совершенствования системы управления МЧС России </w:t>
      </w:r>
      <w:r w:rsidRPr="000B363D">
        <w:rPr>
          <w:rFonts w:ascii="Times New Roman" w:eastAsia="Times New Roman" w:hAnsi="Times New Roman" w:cs="Times New Roman"/>
          <w:noProof/>
          <w:spacing w:val="60"/>
          <w:sz w:val="28"/>
          <w:szCs w:val="28"/>
        </w:rPr>
        <w:t>приказываю</w:t>
      </w: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1. Управление силами и средствами МЧС России осуществлять: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на федеральном уровне – ФКУ «Национальный центр управления в кризисных ситуациях»;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на межрегиональном и региональном уровнях – центрами управления в кризисных ситуациях (далее – ЦУКС) главных управлений МЧС России по субъектам Российской Федерации.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2. Утвердить Схему организации управления в МЧС России в соответствии с приложением.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3. </w:t>
      </w:r>
      <w:proofErr w:type="gramStart"/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Наделить Главное управление МЧС России (далее – ГУ МЧС России) по Хабаровскому краю в пределах Дальневосточного федерального округа (далее – ФО), ГУ МЧС России по Новосибирской области в пределах Сибирского ФО, ГУ МЧС России по Свердловской области в пределах Уральского ФО, ГУ МЧС России по Нижегородской области в пределах Приволжского ФО, ГУ МЧС России по Ростовской области в пределах Южного ФО, ГУ</w:t>
      </w:r>
      <w:proofErr w:type="gramEnd"/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МЧС России по Ставропольскому краю в пределах Северо-Кавказского ФО, ГУ МЧС России по г. Санкт-Петербургу в пределах Северо-Западного ФО и ГУ МЧС России по г. Москве в пределах Центрального ФО следующими полномочиями:</w:t>
      </w:r>
      <w:proofErr w:type="gramEnd"/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применения аэромобильных группировок ГУ МЧС России по субъектам Российской Федерации и иных учреждений и организаций МЧС России, а также по указанию (согласованию) МЧС России авиационно-спасательных центров МЧС России, при угрозе и возникновении чрезвычайных ситуаций природного и техногенного характера;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взаимодействия с полномочными представителями Президента Российской Федерации в ФО в порядке, установленном законодательством Российской Федерации;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доведения до главных управлений МЧС России по субъектам Российской Федерации и учреждений МЧС России сигналов управления (оповещения) при угрозе (возникновении) чрезвычайных ситуаций природного и техногенного характера, по гражданской обороне, а также о непосредственной подготовке к переводу и переводе на работу в условиях военного времени;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proofErr w:type="gramStart"/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поддержания в готовности к использованию информационно-телекоммуникационных систем, технических систем оповещения, средств связи и обеспечения информационной безопасности главных управлений МЧС России по субъектам Российской Федерации;</w:t>
      </w:r>
      <w:proofErr w:type="gramEnd"/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проведения мероприятий оперативной подготовки с органами управления и силами гражданской обороны и Единой государственной системы предупреждения и ликвидации чрезвычайных ситуаций;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осуществления сбора, обобщения и анализа сведений по вопросам, находящимся в компетенции МЧС России.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4. Координацию деятельности ЦУКС главных управлений МЧС России по субъектам Российской Федерации в пределах ФО осуществлять: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ЦУКС ГУ МЧС России по Хабаровскому краю в Дальневосточном ФО;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ЦУКС ГУ МЧС России по Новосибирской области в Сибирском ФО;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ЦУКС ГУ МЧС России по Свердловской области в Уральском ФО;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ЦУКС ГУ МЧС России по Нижегородской области в Приволжском ФО;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ЦУКС ГУ МЧС России по Ростовской области в Южном ФО;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ЦУКС ГУ МЧС России по Ставропольскому краю в Северо-Кавказском ФО;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ЦУКС ГУ МЧС России по г. Санкт-Петербургу в Северо-Западном ФО;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ЦУКС ГУ МЧС России по г. Москве в Центральном ФО.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5. </w:t>
      </w:r>
      <w:proofErr w:type="gramStart"/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Начальникам главных управлений МЧС России по субъектам Российской Федерации, расположенных в пределах соответствующих федеральных округов, обеспечить представление информации по вопросам, находящимся в компетенции МЧС России в соответствии с пунктом 3 настоящего приказа.</w:t>
      </w:r>
      <w:proofErr w:type="gramEnd"/>
    </w:p>
    <w:p w:rsidR="003D4066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t>6. ФКУ «Национальный центр управления в кризисных ситуациях» обеспечить устойчивое функционирование системы управления МЧС России.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sz w:val="28"/>
          <w:szCs w:val="28"/>
        </w:rPr>
        <w:lastRenderedPageBreak/>
        <w:t>7. Признать утратившим силу приказ МЧС России от 20.04.2017 № 179 «О совершенствовании системы управления МЧС России».</w:t>
      </w:r>
    </w:p>
    <w:p w:rsidR="00A32F2E" w:rsidRPr="000B363D" w:rsidRDefault="00A32F2E" w:rsidP="00A32F2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0B363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B363D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временно исполняющего обязанности заместителя Министра </w:t>
      </w:r>
      <w:proofErr w:type="spellStart"/>
      <w:r w:rsidRPr="000B363D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0B363D">
        <w:rPr>
          <w:rFonts w:ascii="Times New Roman" w:eastAsia="Times New Roman" w:hAnsi="Times New Roman" w:cs="Times New Roman"/>
          <w:sz w:val="28"/>
          <w:szCs w:val="28"/>
        </w:rPr>
        <w:t xml:space="preserve"> В.Н.</w:t>
      </w:r>
    </w:p>
    <w:p w:rsidR="0042242F" w:rsidRPr="000B363D" w:rsidRDefault="0042242F" w:rsidP="00A32F2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0B363D" w:rsidRDefault="006F3AE9" w:rsidP="00A32F2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2F2E" w:rsidRPr="000B363D" w:rsidRDefault="00A32F2E" w:rsidP="00A32F2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2F2E" w:rsidRPr="000B363D" w:rsidRDefault="00A32F2E" w:rsidP="00A32F2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6C1628D" wp14:editId="03EE834F">
            <wp:simplePos x="0" y="0"/>
            <wp:positionH relativeFrom="column">
              <wp:posOffset>2748725</wp:posOffset>
            </wp:positionH>
            <wp:positionV relativeFrom="paragraph">
              <wp:posOffset>50800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63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15BBF" w:rsidRPr="000B363D">
        <w:rPr>
          <w:rFonts w:ascii="Times New Roman" w:eastAsia="Times New Roman" w:hAnsi="Times New Roman" w:cs="Times New Roman"/>
          <w:sz w:val="28"/>
          <w:szCs w:val="28"/>
        </w:rPr>
        <w:t>инистр</w:t>
      </w:r>
    </w:p>
    <w:p w:rsidR="0021768B" w:rsidRDefault="00A32F2E" w:rsidP="00A32F2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363D"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 w:rsidRPr="000B363D">
        <w:rPr>
          <w:rFonts w:ascii="Times New Roman" w:eastAsia="Times New Roman" w:hAnsi="Times New Roman" w:cs="Times New Roman"/>
          <w:sz w:val="28"/>
          <w:szCs w:val="28"/>
        </w:rPr>
        <w:tab/>
      </w:r>
      <w:r w:rsidRPr="000B363D">
        <w:rPr>
          <w:rFonts w:ascii="Times New Roman" w:eastAsia="Times New Roman" w:hAnsi="Times New Roman" w:cs="Times New Roman"/>
          <w:sz w:val="28"/>
          <w:szCs w:val="28"/>
        </w:rPr>
        <w:tab/>
      </w:r>
      <w:r w:rsidRPr="000B363D">
        <w:rPr>
          <w:rFonts w:ascii="Times New Roman" w:eastAsia="Times New Roman" w:hAnsi="Times New Roman" w:cs="Times New Roman"/>
          <w:sz w:val="28"/>
          <w:szCs w:val="28"/>
        </w:rPr>
        <w:tab/>
      </w:r>
      <w:r w:rsidRPr="000B363D">
        <w:rPr>
          <w:rFonts w:ascii="Times New Roman" w:eastAsia="Times New Roman" w:hAnsi="Times New Roman" w:cs="Times New Roman"/>
          <w:sz w:val="28"/>
          <w:szCs w:val="28"/>
        </w:rPr>
        <w:tab/>
      </w:r>
      <w:r w:rsidRPr="000B363D">
        <w:rPr>
          <w:rFonts w:ascii="Times New Roman" w:eastAsia="Times New Roman" w:hAnsi="Times New Roman" w:cs="Times New Roman"/>
          <w:sz w:val="28"/>
          <w:szCs w:val="28"/>
        </w:rPr>
        <w:tab/>
      </w:r>
      <w:r w:rsidRPr="000B363D">
        <w:rPr>
          <w:rFonts w:ascii="Times New Roman" w:eastAsia="Times New Roman" w:hAnsi="Times New Roman" w:cs="Times New Roman"/>
          <w:sz w:val="28"/>
          <w:szCs w:val="28"/>
        </w:rPr>
        <w:tab/>
      </w:r>
      <w:r w:rsidRPr="000B363D">
        <w:rPr>
          <w:rFonts w:ascii="Times New Roman" w:eastAsia="Times New Roman" w:hAnsi="Times New Roman" w:cs="Times New Roman"/>
          <w:sz w:val="28"/>
          <w:szCs w:val="28"/>
        </w:rPr>
        <w:tab/>
      </w:r>
      <w:r w:rsidRPr="000B363D">
        <w:rPr>
          <w:rFonts w:ascii="Times New Roman" w:eastAsia="Times New Roman" w:hAnsi="Times New Roman" w:cs="Times New Roman"/>
          <w:sz w:val="28"/>
          <w:szCs w:val="28"/>
        </w:rPr>
        <w:tab/>
      </w:r>
      <w:r w:rsidRPr="000B363D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0B363D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7D1CF6" w:rsidRDefault="007D1CF6" w:rsidP="00A32F2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7D1CF6" w:rsidSect="005D5F86">
          <w:headerReference w:type="default" r:id="rId12"/>
          <w:footerReference w:type="even" r:id="rId13"/>
          <w:footerReference w:type="first" r:id="rId14"/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7D1CF6" w:rsidRDefault="00B90270" w:rsidP="00B90270">
      <w:pPr>
        <w:spacing w:after="0" w:line="240" w:lineRule="auto"/>
        <w:ind w:left="1233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</w:p>
    <w:p w:rsidR="00B90270" w:rsidRDefault="00B90270" w:rsidP="00B90270">
      <w:pPr>
        <w:spacing w:after="0" w:line="240" w:lineRule="auto"/>
        <w:ind w:left="1233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26.10.2018 № 474</w:t>
      </w:r>
    </w:p>
    <w:p w:rsidR="00B90270" w:rsidRPr="00B90270" w:rsidRDefault="00B90270" w:rsidP="00B90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270">
        <w:rPr>
          <w:rFonts w:ascii="Times New Roman" w:eastAsia="Times New Roman" w:hAnsi="Times New Roman" w:cs="Times New Roman"/>
          <w:b/>
          <w:sz w:val="28"/>
          <w:szCs w:val="28"/>
        </w:rPr>
        <w:t>Схема организации управления МЧС России</w:t>
      </w:r>
    </w:p>
    <w:p w:rsidR="00B90270" w:rsidRPr="000B363D" w:rsidRDefault="00B90270" w:rsidP="00B90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5D32638" wp14:editId="306DE944">
            <wp:extent cx="8677847" cy="5581403"/>
            <wp:effectExtent l="0" t="0" r="0" b="635"/>
            <wp:docPr id="2" name="Рисунок 2" descr="C:\Users\rao.OMSKGPS\Desktop\56_47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56_474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702703" cy="559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90270" w:rsidRPr="000B363D" w:rsidSect="007D1CF6">
      <w:pgSz w:w="16840" w:h="11900" w:orient="landscape"/>
      <w:pgMar w:top="1134" w:right="851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9A0" w:rsidRDefault="00AD79A0">
      <w:pPr>
        <w:spacing w:after="0" w:line="240" w:lineRule="auto"/>
      </w:pPr>
      <w:r>
        <w:separator/>
      </w:r>
    </w:p>
  </w:endnote>
  <w:endnote w:type="continuationSeparator" w:id="0">
    <w:p w:rsidR="00AD79A0" w:rsidRDefault="00AD7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24A3A3E" wp14:editId="54A9462C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CF5E42A" wp14:editId="003F2BD4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9A0" w:rsidRDefault="00AD79A0">
      <w:pPr>
        <w:spacing w:after="0" w:line="240" w:lineRule="auto"/>
      </w:pPr>
      <w:r>
        <w:separator/>
      </w:r>
    </w:p>
  </w:footnote>
  <w:footnote w:type="continuationSeparator" w:id="0">
    <w:p w:rsidR="00AD79A0" w:rsidRDefault="00AD7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363D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1652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3386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1B91"/>
    <w:rsid w:val="00626DC8"/>
    <w:rsid w:val="00626E12"/>
    <w:rsid w:val="00630AED"/>
    <w:rsid w:val="00634AAD"/>
    <w:rsid w:val="00635AA1"/>
    <w:rsid w:val="006452D4"/>
    <w:rsid w:val="00650D1B"/>
    <w:rsid w:val="00654C3C"/>
    <w:rsid w:val="00661DE0"/>
    <w:rsid w:val="006664B9"/>
    <w:rsid w:val="00680F08"/>
    <w:rsid w:val="00682A36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1CF6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7482F"/>
    <w:rsid w:val="00880350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2704A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32F2E"/>
    <w:rsid w:val="00A50365"/>
    <w:rsid w:val="00A541A6"/>
    <w:rsid w:val="00A643E3"/>
    <w:rsid w:val="00A65DF0"/>
    <w:rsid w:val="00A84164"/>
    <w:rsid w:val="00A96933"/>
    <w:rsid w:val="00AA1897"/>
    <w:rsid w:val="00AA7A87"/>
    <w:rsid w:val="00AB1585"/>
    <w:rsid w:val="00AB3972"/>
    <w:rsid w:val="00AC3C9D"/>
    <w:rsid w:val="00AC7975"/>
    <w:rsid w:val="00AD1F3A"/>
    <w:rsid w:val="00AD79A0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0270"/>
    <w:rsid w:val="00B93AF2"/>
    <w:rsid w:val="00BA0986"/>
    <w:rsid w:val="00BA1BD0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yperlink" Target="https://fireman.club/inseklodepia/grazhdanskaya-oborona-g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4E2A0-0140-4BFE-9D07-4F7A9903E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2018-11-01T03:29:00Z</dcterms:modified>
</cp:coreProperties>
</file>