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33EE6" w:rsidRDefault="00586869">
      <w:pPr>
        <w:spacing w:after="240"/>
        <w:jc w:val="center"/>
        <w:rPr>
          <w:b/>
        </w:rPr>
      </w:pPr>
      <w:r>
        <w:rPr>
          <w:b/>
        </w:rPr>
        <w:t>МИНИСТЕРСТВО ВНУТРЕННИХ ДЕЛ РОССИЙСКОЙ ФЕДЕРАЦИИ</w:t>
      </w:r>
    </w:p>
    <w:p w:rsidR="00C33EE6" w:rsidRDefault="00586869">
      <w:pPr>
        <w:spacing w:after="240"/>
        <w:jc w:val="center"/>
        <w:rPr>
          <w:b/>
        </w:rPr>
      </w:pPr>
      <w:r>
        <w:rPr>
          <w:b/>
        </w:rPr>
        <w:t xml:space="preserve">Всероссийский ордена </w:t>
      </w:r>
      <w:r w:rsidR="00A8592F">
        <w:rPr>
          <w:b/>
        </w:rPr>
        <w:t>«</w:t>
      </w:r>
      <w:r>
        <w:rPr>
          <w:b/>
        </w:rPr>
        <w:t>Знак Почета</w:t>
      </w:r>
      <w:r w:rsidR="00A8592F">
        <w:rPr>
          <w:b/>
        </w:rPr>
        <w:t>»</w:t>
      </w:r>
      <w:r>
        <w:rPr>
          <w:b/>
        </w:rPr>
        <w:t xml:space="preserve"> научно-исследовательский институт противопожарной обороны </w:t>
      </w:r>
    </w:p>
    <w:p w:rsidR="00C33EE6" w:rsidRDefault="00586869">
      <w:pPr>
        <w:spacing w:after="240"/>
        <w:jc w:val="center"/>
        <w:rPr>
          <w:b/>
        </w:rPr>
      </w:pPr>
      <w:r>
        <w:rPr>
          <w:b/>
        </w:rPr>
        <w:t>РЕКОМЕНДАЦИИ</w:t>
      </w:r>
    </w:p>
    <w:p w:rsidR="00C33EE6" w:rsidRDefault="00586869">
      <w:pPr>
        <w:spacing w:after="240"/>
        <w:jc w:val="center"/>
        <w:rPr>
          <w:b/>
        </w:rPr>
      </w:pPr>
      <w:bookmarkStart w:id="0" w:name="_GoBack"/>
      <w:bookmarkEnd w:id="0"/>
      <w:r w:rsidRPr="00AE624D">
        <w:rPr>
          <w:b/>
          <w:caps/>
          <w:sz w:val="24"/>
        </w:rPr>
        <w:t xml:space="preserve">по </w:t>
      </w:r>
      <w:hyperlink r:id="rId5" w:history="1">
        <w:r w:rsidRPr="00AE624D">
          <w:rPr>
            <w:rStyle w:val="a5"/>
            <w:b/>
            <w:caps/>
            <w:color w:val="auto"/>
            <w:sz w:val="24"/>
            <w:u w:val="none"/>
          </w:rPr>
          <w:t>обеспечению</w:t>
        </w:r>
        <w:r w:rsidRPr="00AE624D">
          <w:rPr>
            <w:rStyle w:val="a5"/>
            <w:b/>
            <w:smallCaps/>
            <w:color w:val="auto"/>
            <w:sz w:val="24"/>
            <w:u w:val="none"/>
          </w:rPr>
          <w:t xml:space="preserve"> </w:t>
        </w:r>
        <w:r w:rsidRPr="00AE624D">
          <w:rPr>
            <w:rStyle w:val="a5"/>
            <w:b/>
            <w:color w:val="auto"/>
            <w:sz w:val="24"/>
            <w:u w:val="none"/>
          </w:rPr>
          <w:t>ПОЖАРНОЙ БЕЗОПАСНОСТИ</w:t>
        </w:r>
      </w:hyperlink>
      <w:r w:rsidRPr="00AE624D">
        <w:rPr>
          <w:b/>
          <w:sz w:val="24"/>
        </w:rPr>
        <w:t xml:space="preserve"> ОБЪЕКТОВ </w:t>
      </w:r>
      <w:r w:rsidRPr="00A8592F">
        <w:rPr>
          <w:b/>
          <w:sz w:val="24"/>
        </w:rPr>
        <w:t>НЕФТЕПРОДУКТООБЕСПЕЧЕНИЯ, РАСПОЛОЖЕННЫХ НА СЕЛИТЕБНОЙ ТЕРРИТОРИИ</w:t>
      </w:r>
    </w:p>
    <w:p w:rsidR="00C33EE6" w:rsidRDefault="00586869">
      <w:pPr>
        <w:spacing w:after="240"/>
        <w:jc w:val="center"/>
        <w:rPr>
          <w:b/>
        </w:rPr>
      </w:pPr>
      <w:r>
        <w:rPr>
          <w:b/>
          <w:spacing w:val="40"/>
        </w:rPr>
        <w:t>Москва</w:t>
      </w:r>
      <w:r>
        <w:rPr>
          <w:b/>
        </w:rPr>
        <w:t xml:space="preserve"> 1997</w:t>
      </w:r>
    </w:p>
    <w:p w:rsidR="00C33EE6" w:rsidRPr="00A8592F" w:rsidRDefault="00586869">
      <w:pPr>
        <w:ind w:firstLine="284"/>
        <w:jc w:val="both"/>
      </w:pPr>
      <w:proofErr w:type="gramStart"/>
      <w:r w:rsidRPr="00A8592F">
        <w:t xml:space="preserve">Основанием для разработки настоящих рекомендаций является федеральная целевая программа </w:t>
      </w:r>
      <w:r w:rsidR="00A8592F">
        <w:t>«</w:t>
      </w:r>
      <w:r w:rsidRPr="00A8592F">
        <w:t>Пожарная безопасность и социальная зашита на 1995-1997 годы</w:t>
      </w:r>
      <w:r w:rsidR="00A8592F">
        <w:t>»</w:t>
      </w:r>
      <w:r w:rsidRPr="00A8592F">
        <w:t>, утвержденная постановлением Правительства Российской Федерации от 26 декабря 1995 г за 1275 (Пункт 4.1.5.</w:t>
      </w:r>
      <w:proofErr w:type="gramEnd"/>
      <w:r w:rsidRPr="00A8592F">
        <w:t xml:space="preserve"> </w:t>
      </w:r>
      <w:proofErr w:type="gramStart"/>
      <w:r w:rsidRPr="00A8592F">
        <w:t>Обеспечить разработку противопожарных мероприятий и вывод из черты городской застройки объектов хранения нефти и нефтепродуктов).</w:t>
      </w:r>
      <w:proofErr w:type="gramEnd"/>
    </w:p>
    <w:p w:rsidR="00C33EE6" w:rsidRPr="00A8592F" w:rsidRDefault="00586869">
      <w:pPr>
        <w:ind w:firstLine="284"/>
        <w:jc w:val="both"/>
      </w:pPr>
      <w:r w:rsidRPr="00A8592F">
        <w:t xml:space="preserve">Разработаны АО </w:t>
      </w:r>
      <w:r w:rsidR="00A8592F">
        <w:t>«</w:t>
      </w:r>
      <w:r w:rsidRPr="00A8592F">
        <w:t>ВНИИПИНЕФТЬ</w:t>
      </w:r>
      <w:r w:rsidR="00A8592F">
        <w:t>»</w:t>
      </w:r>
      <w:r w:rsidRPr="00A8592F">
        <w:t xml:space="preserve"> с участием специалистов ГУТЛС, ВНИИПО, МИПБ МВД России по заказу </w:t>
      </w:r>
      <w:proofErr w:type="spellStart"/>
      <w:r w:rsidRPr="00A8592F">
        <w:t>Главнефтепродукта</w:t>
      </w:r>
      <w:proofErr w:type="spellEnd"/>
      <w:r w:rsidRPr="00A8592F">
        <w:t xml:space="preserve"> ОАО НК </w:t>
      </w:r>
      <w:r w:rsidR="00A8592F">
        <w:t>«</w:t>
      </w:r>
      <w:r w:rsidRPr="00A8592F">
        <w:t>Роснефть</w:t>
      </w:r>
      <w:r w:rsidR="00A8592F">
        <w:t>»</w:t>
      </w:r>
      <w:r w:rsidRPr="00A8592F">
        <w:t>.</w:t>
      </w:r>
    </w:p>
    <w:p w:rsidR="00C33EE6" w:rsidRPr="00A8592F" w:rsidRDefault="00586869">
      <w:pPr>
        <w:ind w:firstLine="284"/>
        <w:jc w:val="both"/>
      </w:pPr>
      <w:r w:rsidRPr="00A8592F">
        <w:t xml:space="preserve">Исполнители: </w:t>
      </w:r>
      <w:proofErr w:type="gramStart"/>
      <w:r w:rsidRPr="00A8592F">
        <w:t xml:space="preserve">Сучков В.П. - руководитель темы (МИПБ МВД России); Куликов А.В. (АО </w:t>
      </w:r>
      <w:r w:rsidR="00A8592F">
        <w:t>«</w:t>
      </w:r>
      <w:r w:rsidRPr="00A8592F">
        <w:t>ВНИИПИНЕФТЬ</w:t>
      </w:r>
      <w:r w:rsidR="00A8592F">
        <w:t>»</w:t>
      </w:r>
      <w:r w:rsidRPr="00A8592F">
        <w:t xml:space="preserve">); Молчанов В.П. (ГУГПС МВД России); Шаталов А.А (Госгортехнадзор России), Шевчук А.П., Бородкин А.Н.. </w:t>
      </w:r>
      <w:proofErr w:type="spellStart"/>
      <w:r w:rsidRPr="00A8592F">
        <w:t>Гуринович</w:t>
      </w:r>
      <w:proofErr w:type="spellEnd"/>
      <w:r w:rsidRPr="00A8592F">
        <w:t xml:space="preserve"> Л.В., Смирнов</w:t>
      </w:r>
      <w:r w:rsidRPr="00A8592F">
        <w:rPr>
          <w:smallCaps/>
        </w:rPr>
        <w:t xml:space="preserve"> </w:t>
      </w:r>
      <w:r w:rsidRPr="00A8592F">
        <w:t xml:space="preserve">С.П. (ВНИИПО МВД России); </w:t>
      </w:r>
      <w:proofErr w:type="spellStart"/>
      <w:r w:rsidRPr="00A8592F">
        <w:t>Шароварников</w:t>
      </w:r>
      <w:proofErr w:type="spellEnd"/>
      <w:r w:rsidRPr="00A8592F">
        <w:t xml:space="preserve"> А.Ф., </w:t>
      </w:r>
      <w:proofErr w:type="spellStart"/>
      <w:r w:rsidRPr="00A8592F">
        <w:t>Парцевский</w:t>
      </w:r>
      <w:proofErr w:type="spellEnd"/>
      <w:r w:rsidRPr="00A8592F">
        <w:t xml:space="preserve"> В.В., Швырков А.Н. (МИПБ МВД России).</w:t>
      </w:r>
      <w:proofErr w:type="gramEnd"/>
    </w:p>
    <w:p w:rsidR="00C33EE6" w:rsidRDefault="00586869">
      <w:pPr>
        <w:pStyle w:val="1"/>
      </w:pPr>
      <w:r>
        <w:t>1. ОБЩИЕ ПОЛОЖЕНИЯ</w:t>
      </w:r>
    </w:p>
    <w:p w:rsidR="00C33EE6" w:rsidRDefault="00586869">
      <w:pPr>
        <w:ind w:firstLine="284"/>
        <w:jc w:val="both"/>
      </w:pPr>
      <w:r>
        <w:t>1.1. Настоящие рекомендации направлены на повышение устойчивости объектов нефтепродуктообеспечения (нефтебаз, наливных пунктов, автозаправочных станций и т. п.), расположенных на селитебных территориях*, к возникновению и развитию на них пожаров.</w:t>
      </w:r>
    </w:p>
    <w:p w:rsidR="00C33EE6" w:rsidRDefault="00586869">
      <w:pPr>
        <w:ind w:firstLine="284"/>
        <w:jc w:val="both"/>
      </w:pPr>
      <w:r>
        <w:rPr>
          <w:b/>
        </w:rPr>
        <w:t>* Селитебная</w:t>
      </w:r>
      <w:r>
        <w:rPr>
          <w:b/>
          <w:i/>
        </w:rPr>
        <w:t xml:space="preserve"> </w:t>
      </w:r>
      <w:r>
        <w:rPr>
          <w:b/>
        </w:rPr>
        <w:t>территория</w:t>
      </w:r>
      <w:r>
        <w:t xml:space="preserve"> города - территория, предназначенная для размещения жилищного фонда, общественных зданий и сооружений, в том числе научно-исследовательских институтов и их комплексов, а также отдельных коммунальных и промышленных объектов, не требующих устройства санитарно-защитных зон; для устройства путей внутригородского сообщения, площадей, парков, садов, бульваров и других мест общего пользования. </w:t>
      </w:r>
      <w:proofErr w:type="gramStart"/>
      <w:r>
        <w:t>(По СНиП 2.07.01-89.</w:t>
      </w:r>
      <w:proofErr w:type="gramEnd"/>
      <w:r>
        <w:t xml:space="preserve"> Градостроительство. </w:t>
      </w:r>
      <w:proofErr w:type="gramStart"/>
      <w:r>
        <w:t>Планировка и застройка городских и сельских поселений).</w:t>
      </w:r>
      <w:proofErr w:type="gramEnd"/>
    </w:p>
    <w:p w:rsidR="00C33EE6" w:rsidRDefault="00586869">
      <w:pPr>
        <w:ind w:firstLine="284"/>
        <w:jc w:val="both"/>
      </w:pPr>
      <w:r>
        <w:t>1.2. Повышение устойчивости к возникновению и развитию пожаров объектов нефтепродуктообеспечения достигается за счет:</w:t>
      </w:r>
    </w:p>
    <w:p w:rsidR="00C33EE6" w:rsidRDefault="00586869">
      <w:pPr>
        <w:ind w:firstLine="284"/>
        <w:jc w:val="both"/>
      </w:pPr>
      <w:r>
        <w:t xml:space="preserve">модернизации, а также своевременной замены оборудования, прошедшего нормативный срок службы, на более </w:t>
      </w:r>
      <w:proofErr w:type="spellStart"/>
      <w:r>
        <w:t>взрывопожаробезопасное</w:t>
      </w:r>
      <w:proofErr w:type="spellEnd"/>
      <w:r>
        <w:t>;</w:t>
      </w:r>
    </w:p>
    <w:p w:rsidR="00C33EE6" w:rsidRDefault="00586869">
      <w:pPr>
        <w:ind w:firstLine="284"/>
        <w:jc w:val="both"/>
      </w:pPr>
      <w:r>
        <w:t>применения взрывобезопасных технологий хранения нефтепродуктов;</w:t>
      </w:r>
    </w:p>
    <w:p w:rsidR="00C33EE6" w:rsidRDefault="00586869">
      <w:pPr>
        <w:ind w:firstLine="284"/>
        <w:jc w:val="both"/>
      </w:pPr>
      <w:r>
        <w:t>противоаварийной защиты, способной предотвратить аварийный выход нефтепродукта за пределы обвалования и конта</w:t>
      </w:r>
      <w:proofErr w:type="gramStart"/>
      <w:r>
        <w:t>кт взр</w:t>
      </w:r>
      <w:proofErr w:type="gramEnd"/>
      <w:r>
        <w:t>ывоопасной зоны с возможными источниками зажигания;</w:t>
      </w:r>
    </w:p>
    <w:p w:rsidR="00C33EE6" w:rsidRDefault="00586869">
      <w:pPr>
        <w:ind w:firstLine="284"/>
        <w:jc w:val="both"/>
      </w:pPr>
      <w:r>
        <w:t>противопожарной защиты, обеспечивающей предотвращение развития пожара в крупномасштабную аварию, связанную с выходом в селитебную зону;</w:t>
      </w:r>
    </w:p>
    <w:p w:rsidR="00C33EE6" w:rsidRDefault="00586869">
      <w:pPr>
        <w:ind w:firstLine="284"/>
        <w:jc w:val="both"/>
      </w:pPr>
      <w:r>
        <w:t>организационных мероприятий по подготовке персонала объектов нефтепродуктообеспечения к предупреждению, локализации и ликвидации аварий и пожаров.</w:t>
      </w:r>
    </w:p>
    <w:p w:rsidR="00C33EE6" w:rsidRDefault="00586869">
      <w:pPr>
        <w:ind w:firstLine="284"/>
        <w:jc w:val="both"/>
      </w:pPr>
      <w:r>
        <w:t>1.3. Перечисленные в настоящих рекомендациях мероприятия пожарной безопасности (в дальнейшем - мероприятия), направленные на повышение устойчивости к возникновению и развитию пожара объектов нефтепродуктообеспечения, являются дополнительными к мероприятиям, установленным действующими нормативными документами по пожарной безопасности.</w:t>
      </w:r>
    </w:p>
    <w:p w:rsidR="00C33EE6" w:rsidRDefault="00586869">
      <w:pPr>
        <w:ind w:firstLine="284"/>
        <w:jc w:val="both"/>
      </w:pPr>
      <w:r>
        <w:t xml:space="preserve">1.4. Комплекс </w:t>
      </w:r>
      <w:proofErr w:type="gramStart"/>
      <w:r>
        <w:t>мероприятии</w:t>
      </w:r>
      <w:proofErr w:type="gramEnd"/>
      <w:r>
        <w:t xml:space="preserve">, предусмотренных настоящими рекомендациями, должен основываться на результатах анализа пожарной опасности объекта нефтепродуктообеспечения для населения и территории и обеспечивать их безопасность согласно стандарту </w:t>
      </w:r>
      <w:r w:rsidR="00A8592F">
        <w:t>«</w:t>
      </w:r>
      <w:r>
        <w:t>Пожарная безопасность. Общие требования</w:t>
      </w:r>
      <w:r w:rsidR="00A8592F">
        <w:t>»</w:t>
      </w:r>
      <w:r>
        <w:t xml:space="preserve"> (ГОСТ 12.1.004-91).</w:t>
      </w:r>
    </w:p>
    <w:p w:rsidR="00C33EE6" w:rsidRDefault="00586869">
      <w:pPr>
        <w:ind w:firstLine="284"/>
        <w:jc w:val="both"/>
      </w:pPr>
      <w:r>
        <w:t>В случае</w:t>
      </w:r>
      <w:proofErr w:type="gramStart"/>
      <w:r>
        <w:t>,</w:t>
      </w:r>
      <w:proofErr w:type="gramEnd"/>
      <w:r>
        <w:t xml:space="preserve"> если комплекс дополнительных мероприятий не позволяет обеспечить пожарную безопасность согласно стандарту </w:t>
      </w:r>
      <w:r w:rsidR="00A8592F">
        <w:t>«</w:t>
      </w:r>
      <w:r>
        <w:t>Пожарная безопасность. Общие требования</w:t>
      </w:r>
      <w:r w:rsidR="00A8592F">
        <w:t>»</w:t>
      </w:r>
      <w:r>
        <w:t>, объект нефтепродуктообеспечения подлежит выводу из эксплуатации.</w:t>
      </w:r>
    </w:p>
    <w:p w:rsidR="00C33EE6" w:rsidRDefault="00586869">
      <w:pPr>
        <w:ind w:firstLine="284"/>
        <w:jc w:val="both"/>
      </w:pPr>
      <w:r>
        <w:lastRenderedPageBreak/>
        <w:t>1.5. Анализ пожарной опасности объектов нефтепродуктообеспечения проводят на основе разработки модели возникновения и развития аварии с переходом в пожар (сценарий) применительно к конкретному случаю расположения объекта нефтепродуктообеспечения на селитебной территории (прил. 1).</w:t>
      </w:r>
    </w:p>
    <w:p w:rsidR="00C33EE6" w:rsidRDefault="00586869">
      <w:pPr>
        <w:ind w:firstLine="284"/>
        <w:jc w:val="both"/>
      </w:pPr>
      <w:r>
        <w:t xml:space="preserve">Количественное определение пожарной опасности производят согласно стандарту </w:t>
      </w:r>
      <w:r w:rsidR="00A8592F">
        <w:t>«</w:t>
      </w:r>
      <w:r>
        <w:t>Пожарная безопасность. Общие требования</w:t>
      </w:r>
      <w:r w:rsidR="00A8592F">
        <w:t>»</w:t>
      </w:r>
      <w:r>
        <w:t>.</w:t>
      </w:r>
    </w:p>
    <w:p w:rsidR="00C33EE6" w:rsidRDefault="00586869">
      <w:pPr>
        <w:ind w:firstLine="284"/>
        <w:jc w:val="both"/>
      </w:pPr>
      <w:r>
        <w:t xml:space="preserve">Для наиболее опасного сценария - полного разрушения резервуара с образованием гидродинамической волны нефтепродукта, промывающей или перехлестывающей обвалование и разливающейся на большой площади, - показатели пожарной опасности определяют по методике (прил. 2), разработанной в соответствии с требованиями стандарта </w:t>
      </w:r>
      <w:r w:rsidR="00A8592F">
        <w:t>«</w:t>
      </w:r>
      <w:r>
        <w:t>Пожарная безопасность. Общие требования</w:t>
      </w:r>
      <w:r w:rsidR="00A8592F">
        <w:t>»</w:t>
      </w:r>
      <w:r>
        <w:t>.</w:t>
      </w:r>
    </w:p>
    <w:p w:rsidR="00C33EE6" w:rsidRDefault="00586869">
      <w:pPr>
        <w:ind w:firstLine="284"/>
        <w:jc w:val="both"/>
      </w:pPr>
      <w:r>
        <w:t>1.6. Сроки приведения объектов нефтепродуктообеспечения, расположенных на селитебных территориях, в соответствие с настоящими рекомендациями определяются в каждом конкретном случае руководителями предприятий по согласованию с Государственной противопожарной службой МВД России.</w:t>
      </w:r>
    </w:p>
    <w:p w:rsidR="00C33EE6" w:rsidRDefault="00586869">
      <w:pPr>
        <w:ind w:firstLine="284"/>
        <w:jc w:val="both"/>
      </w:pPr>
      <w:r>
        <w:t xml:space="preserve">1.7. Предлагаемые </w:t>
      </w:r>
      <w:proofErr w:type="gramStart"/>
      <w:r>
        <w:t>к</w:t>
      </w:r>
      <w:proofErr w:type="gramEnd"/>
      <w:r>
        <w:t xml:space="preserve"> настоящих рекомендациях мероприятия, связанные с внедрением взрывобезопасных технологий, заменой на современные, более взрывобезопасные виды оборудования и сооружений, средств пожаротушения, а также новых типовых проектных решений противоаварийной и противопожарной защиты, осуществляются по мере их разработки и отечественного промышленного производства.</w:t>
      </w:r>
    </w:p>
    <w:p w:rsidR="00C33EE6" w:rsidRDefault="00586869">
      <w:pPr>
        <w:ind w:firstLine="284"/>
        <w:jc w:val="both"/>
      </w:pPr>
      <w:r>
        <w:t>1.8. Внедрение мероприятий может производиться при наличии проектной документации, согласованной и утвержденной в установленном порядке.</w:t>
      </w:r>
    </w:p>
    <w:p w:rsidR="00C33EE6" w:rsidRDefault="00586869">
      <w:pPr>
        <w:pStyle w:val="1"/>
      </w:pPr>
      <w:r>
        <w:t>2. ВЗРЫВОБЕЗОПАСНЫЕ ТЕХНОЛОГИИ ХРАНЕНИЯ НЕФТЕПРОДУКТОВ</w:t>
      </w:r>
    </w:p>
    <w:p w:rsidR="00C33EE6" w:rsidRDefault="00586869">
      <w:pPr>
        <w:ind w:firstLine="284"/>
        <w:jc w:val="both"/>
      </w:pPr>
      <w:r>
        <w:t>2.1. Взрывобезопасная технология - комплекс технических мероприятий, обеспечивающий повышенную устойчивость при нормальном функционировании объекта нефтепродуктообеспечения к возникновению пожара за счет взрывобезопасной паровоздушной среды внутри и снаружи резервуаров, газовых обвязок и других технологических сооружений и аппаратов.</w:t>
      </w:r>
    </w:p>
    <w:p w:rsidR="00C33EE6" w:rsidRDefault="00586869">
      <w:pPr>
        <w:ind w:firstLine="284"/>
        <w:jc w:val="both"/>
      </w:pPr>
      <w:r>
        <w:t>Условия взрывобезопасности паровоздушной среды при хранении нефтепродуктов приведены в прил. 3.</w:t>
      </w:r>
    </w:p>
    <w:p w:rsidR="00C33EE6" w:rsidRDefault="00586869">
      <w:pPr>
        <w:ind w:firstLine="284"/>
        <w:jc w:val="both"/>
      </w:pPr>
      <w:r>
        <w:t xml:space="preserve">2.2. Взрывобезопасная технология хранения нефтепродуктов в вертикальных резервуарах со стационарной крышей предусматривает применение </w:t>
      </w:r>
      <w:proofErr w:type="spellStart"/>
      <w:r>
        <w:t>газоуравнительных</w:t>
      </w:r>
      <w:proofErr w:type="spellEnd"/>
      <w:r>
        <w:t xml:space="preserve"> обвязок, газгольдеров и устройств улавливания паров.</w:t>
      </w:r>
    </w:p>
    <w:p w:rsidR="00C33EE6" w:rsidRDefault="00586869">
      <w:pPr>
        <w:ind w:firstLine="284"/>
        <w:jc w:val="both"/>
      </w:pPr>
      <w:r>
        <w:t xml:space="preserve">2.3. </w:t>
      </w:r>
      <w:proofErr w:type="spellStart"/>
      <w:r>
        <w:t>Газоуравнительные</w:t>
      </w:r>
      <w:proofErr w:type="spellEnd"/>
      <w:r>
        <w:t xml:space="preserve"> обвязки целесообразно защищать </w:t>
      </w:r>
      <w:proofErr w:type="gramStart"/>
      <w:r>
        <w:t>антидетонационными</w:t>
      </w:r>
      <w:proofErr w:type="gramEnd"/>
      <w:r>
        <w:t xml:space="preserve"> </w:t>
      </w:r>
      <w:proofErr w:type="spellStart"/>
      <w:r>
        <w:t>огнепреградителями</w:t>
      </w:r>
      <w:proofErr w:type="spellEnd"/>
      <w:r>
        <w:t>.</w:t>
      </w:r>
    </w:p>
    <w:p w:rsidR="00C33EE6" w:rsidRDefault="00586869">
      <w:pPr>
        <w:ind w:firstLine="284"/>
        <w:jc w:val="both"/>
      </w:pPr>
      <w:r>
        <w:t xml:space="preserve">Допускается установка вместо антидетонационных </w:t>
      </w:r>
      <w:proofErr w:type="spellStart"/>
      <w:r>
        <w:t>огнепреградителей</w:t>
      </w:r>
      <w:proofErr w:type="spellEnd"/>
      <w:r>
        <w:t xml:space="preserve"> </w:t>
      </w:r>
      <w:proofErr w:type="spellStart"/>
      <w:r>
        <w:t>барбатеров</w:t>
      </w:r>
      <w:proofErr w:type="spellEnd"/>
      <w:r>
        <w:t xml:space="preserve">, обеспечивающих постоянное поддержание в </w:t>
      </w:r>
      <w:proofErr w:type="spellStart"/>
      <w:r>
        <w:t>газоуравнительной</w:t>
      </w:r>
      <w:proofErr w:type="spellEnd"/>
      <w:r>
        <w:t xml:space="preserve"> обвязке концентрации паров нефтепродукта выше верхнего концентрационного предела распространения пламени.</w:t>
      </w:r>
    </w:p>
    <w:p w:rsidR="00C33EE6" w:rsidRDefault="00586869">
      <w:pPr>
        <w:ind w:firstLine="284"/>
        <w:jc w:val="both"/>
      </w:pPr>
      <w:r>
        <w:t xml:space="preserve">2.4. При перемещении горючих газов и паров по трубопроводам </w:t>
      </w:r>
      <w:proofErr w:type="spellStart"/>
      <w:r>
        <w:t>газоуравнительных</w:t>
      </w:r>
      <w:proofErr w:type="spellEnd"/>
      <w:r>
        <w:t xml:space="preserve"> обвязок следует предусматривать меры, исключающие конденсацию перемещаемых сред или обеспечивающие надежное и безопасное удаление жидкости из транспортной системы.</w:t>
      </w:r>
    </w:p>
    <w:p w:rsidR="00C33EE6" w:rsidRDefault="00586869">
      <w:pPr>
        <w:ind w:firstLine="284"/>
        <w:jc w:val="both"/>
      </w:pPr>
      <w:r>
        <w:t xml:space="preserve">2.5. При невозможности или нецелесообразности выполнения мероприятий, изложенных в п. 2.2, следует перепрофилировать предприятие нефтепродуктообеспечения на хранение менее </w:t>
      </w:r>
      <w:proofErr w:type="spellStart"/>
      <w:r>
        <w:t>пожаровзрывоопасных</w:t>
      </w:r>
      <w:proofErr w:type="spellEnd"/>
      <w:r>
        <w:t xml:space="preserve"> нефтепродуктов в вертикальных стальных резервуарах со стационарной крышей:</w:t>
      </w:r>
    </w:p>
    <w:p w:rsidR="00C33EE6" w:rsidRDefault="00586869">
      <w:pPr>
        <w:ind w:firstLine="284"/>
        <w:jc w:val="both"/>
      </w:pPr>
      <w:r>
        <w:t xml:space="preserve">в </w:t>
      </w:r>
      <w:r>
        <w:rPr>
          <w:lang w:val="en-US"/>
        </w:rPr>
        <w:t>I</w:t>
      </w:r>
      <w:r>
        <w:t xml:space="preserve"> климатическом районе - с температурой вспышки не менее 25</w:t>
      </w:r>
      <w:proofErr w:type="gramStart"/>
      <w:r>
        <w:t xml:space="preserve"> °С</w:t>
      </w:r>
      <w:proofErr w:type="gramEnd"/>
      <w:r>
        <w:t>;</w:t>
      </w:r>
    </w:p>
    <w:p w:rsidR="00C33EE6" w:rsidRDefault="00586869">
      <w:pPr>
        <w:ind w:firstLine="284"/>
        <w:jc w:val="both"/>
      </w:pPr>
      <w:r>
        <w:t>во II и III климатических районах - с температурой вспышки не менее 30</w:t>
      </w:r>
      <w:proofErr w:type="gramStart"/>
      <w:r>
        <w:t xml:space="preserve"> °С</w:t>
      </w:r>
      <w:proofErr w:type="gramEnd"/>
      <w:r>
        <w:t>;</w:t>
      </w:r>
    </w:p>
    <w:p w:rsidR="00C33EE6" w:rsidRDefault="00586869">
      <w:pPr>
        <w:ind w:firstLine="284"/>
        <w:jc w:val="both"/>
      </w:pPr>
      <w:r>
        <w:t xml:space="preserve">в </w:t>
      </w:r>
      <w:r>
        <w:rPr>
          <w:lang w:val="en-US"/>
        </w:rPr>
        <w:t>IV</w:t>
      </w:r>
      <w:r>
        <w:t xml:space="preserve"> климатическом районе - с температурой вспышки не менее 35 °С.</w:t>
      </w:r>
    </w:p>
    <w:p w:rsidR="00C33EE6" w:rsidRDefault="00586869">
      <w:pPr>
        <w:ind w:firstLine="284"/>
        <w:jc w:val="both"/>
      </w:pPr>
      <w:r>
        <w:t xml:space="preserve">Распределение климатических районов приведено в СНиП </w:t>
      </w:r>
      <w:r w:rsidR="00A8592F">
        <w:t>«</w:t>
      </w:r>
      <w:r>
        <w:t>Строительная климатология и геофизика</w:t>
      </w:r>
      <w:r w:rsidR="00A8592F">
        <w:t>»</w:t>
      </w:r>
      <w:r>
        <w:t>.</w:t>
      </w:r>
    </w:p>
    <w:p w:rsidR="00C33EE6" w:rsidRDefault="00586869">
      <w:pPr>
        <w:ind w:firstLine="284"/>
        <w:jc w:val="both"/>
      </w:pPr>
      <w:r>
        <w:t xml:space="preserve">2.6. Взрывобезопасность технологии хранения нефтепродуктов в резервуарах с понтонами, т. с. предотвращение образования взрывоопасной концентрации в </w:t>
      </w:r>
      <w:proofErr w:type="spellStart"/>
      <w:r>
        <w:t>надпонтонном</w:t>
      </w:r>
      <w:proofErr w:type="spellEnd"/>
      <w:r>
        <w:t xml:space="preserve"> пространстве резервуара, достигается за счет:</w:t>
      </w:r>
    </w:p>
    <w:p w:rsidR="00C33EE6" w:rsidRDefault="00586869">
      <w:pPr>
        <w:ind w:firstLine="284"/>
        <w:jc w:val="both"/>
      </w:pPr>
      <w:r>
        <w:t>применения уплотняющего затвора понтона с повышенной герметичностью (табл. 1);</w:t>
      </w:r>
    </w:p>
    <w:p w:rsidR="00C33EE6" w:rsidRDefault="00586869">
      <w:pPr>
        <w:ind w:firstLine="284"/>
        <w:jc w:val="both"/>
      </w:pPr>
      <w:r>
        <w:t xml:space="preserve">оборудования резервуара с понтоном вентиляционными люками (табл. 2 и 3) при условии, что коэффициент герметичности уплотняющего затвора не превышает нормативного значения, равного 1 </w:t>
      </w:r>
      <w:r>
        <w:sym w:font="Symbol" w:char="F0D7"/>
      </w:r>
      <w:r>
        <w:t xml:space="preserve"> 10</w:t>
      </w:r>
      <w:r>
        <w:rPr>
          <w:vertAlign w:val="superscript"/>
        </w:rPr>
        <w:t>-5</w:t>
      </w:r>
      <w:r>
        <w:t xml:space="preserve"> м</w:t>
      </w:r>
      <w:r>
        <w:sym w:font="Symbol" w:char="F0D7"/>
      </w:r>
      <w:r>
        <w:t>ч</w:t>
      </w:r>
      <w:r>
        <w:rPr>
          <w:vertAlign w:val="superscript"/>
        </w:rPr>
        <w:t>-1</w:t>
      </w:r>
      <w:r>
        <w:t>.</w:t>
      </w:r>
    </w:p>
    <w:p w:rsidR="00C33EE6" w:rsidRDefault="00586869">
      <w:pPr>
        <w:ind w:firstLine="284"/>
        <w:jc w:val="both"/>
      </w:pPr>
      <w:r>
        <w:t xml:space="preserve">Выбор того или иного технического решения производится на основании паспортных данных на коэффициент герметичности уплотняющего затвора понтона или </w:t>
      </w:r>
      <w:r>
        <w:lastRenderedPageBreak/>
        <w:t>экспериментального определения коэффициента герметичности согласно действующим в отрасли методикам.</w:t>
      </w:r>
    </w:p>
    <w:p w:rsidR="00C33EE6" w:rsidRDefault="00586869">
      <w:pPr>
        <w:ind w:firstLine="284"/>
        <w:jc w:val="both"/>
      </w:pPr>
      <w:r>
        <w:t xml:space="preserve">2.7. В процессе эксплуатации резервуара </w:t>
      </w:r>
      <w:proofErr w:type="gramStart"/>
      <w:r>
        <w:t>со</w:t>
      </w:r>
      <w:proofErr w:type="gramEnd"/>
      <w:r>
        <w:t xml:space="preserve"> взрывоопасным </w:t>
      </w:r>
      <w:proofErr w:type="spellStart"/>
      <w:r>
        <w:t>надпонтонным</w:t>
      </w:r>
      <w:proofErr w:type="spellEnd"/>
      <w:r>
        <w:t xml:space="preserve"> пространством, т. е. отвечающего требованиям п. 2.6, не реже 1 раза в квартал герметичность уплотняющего затвора понтона оценивают посредством измерения концентрации паров нефтепродуктов в </w:t>
      </w:r>
      <w:proofErr w:type="spellStart"/>
      <w:r>
        <w:t>надпонтонном</w:t>
      </w:r>
      <w:proofErr w:type="spellEnd"/>
      <w:r>
        <w:t xml:space="preserve"> пространстве резервуара на расстоянии не менее 1 м от крыши в первой половине дня при неподвижном уровне нефтепродукта.</w:t>
      </w:r>
    </w:p>
    <w:p w:rsidR="00C33EE6" w:rsidRDefault="00586869">
      <w:pPr>
        <w:ind w:firstLine="284"/>
        <w:jc w:val="both"/>
      </w:pPr>
      <w:r>
        <w:t>В случае превышения концентрации паров углеводородов более 20 г</w:t>
      </w:r>
      <w:r>
        <w:sym w:font="Symbol" w:char="F0D7"/>
      </w:r>
      <w:r>
        <w:t>м</w:t>
      </w:r>
      <w:r>
        <w:rPr>
          <w:vertAlign w:val="superscript"/>
        </w:rPr>
        <w:t>-3</w:t>
      </w:r>
      <w:r>
        <w:t xml:space="preserve"> и невозможности установления причины резервуар следует вывести из эксплуатации до ее устранения.</w:t>
      </w:r>
    </w:p>
    <w:p w:rsidR="00C33EE6" w:rsidRDefault="00586869">
      <w:pPr>
        <w:ind w:firstLine="284"/>
        <w:jc w:val="both"/>
      </w:pPr>
      <w:r>
        <w:t xml:space="preserve">При наличии вентиляционных люков их необходимо </w:t>
      </w:r>
      <w:proofErr w:type="spellStart"/>
      <w:r>
        <w:t>загерметизировать</w:t>
      </w:r>
      <w:proofErr w:type="spellEnd"/>
      <w:r>
        <w:t xml:space="preserve"> крышками.</w:t>
      </w:r>
    </w:p>
    <w:p w:rsidR="00C33EE6" w:rsidRDefault="00586869">
      <w:pPr>
        <w:ind w:firstLine="284"/>
        <w:jc w:val="both"/>
      </w:pPr>
      <w:r>
        <w:t>2.8. При хранении котельных топлив предотвращение взрывоопасных концентраций в свободном от жидкости пространстве может быть достигнуто за счет оборудования резервуара со стационарной крышей вентиляционными люками (см. табл. 2 и 3).</w:t>
      </w:r>
    </w:p>
    <w:p w:rsidR="00C33EE6" w:rsidRDefault="00586869">
      <w:pPr>
        <w:ind w:firstLine="284"/>
        <w:jc w:val="both"/>
      </w:pPr>
      <w:r>
        <w:t xml:space="preserve">2.9. При хранении бензинов в горизонтальных стальных резервуарах на нефтебазах и в емкостях автозаправочных станций, а также на автотранспортных средствах доставки следует применять взрывоустойчивые </w:t>
      </w:r>
      <w:r w:rsidR="00A8592F">
        <w:t>«</w:t>
      </w:r>
      <w:r>
        <w:t>сотовые</w:t>
      </w:r>
      <w:r w:rsidR="00A8592F">
        <w:t>»</w:t>
      </w:r>
      <w:r>
        <w:t xml:space="preserve"> технологии хранения (прил. 4) или другие технические решения, обеспечивающие </w:t>
      </w:r>
      <w:proofErr w:type="spellStart"/>
      <w:r>
        <w:t>пожаровзрывобезопасность</w:t>
      </w:r>
      <w:proofErr w:type="spellEnd"/>
      <w:r>
        <w:t xml:space="preserve"> технологии хранения.</w:t>
      </w:r>
    </w:p>
    <w:p w:rsidR="00C33EE6" w:rsidRDefault="00586869">
      <w:pPr>
        <w:ind w:firstLine="284"/>
        <w:jc w:val="both"/>
      </w:pPr>
      <w:r>
        <w:t>2.10. Технологическая схема нефтебазы или наливного пункта может обеспечивать как функции распределительной нефтебазы, так и другие функции.</w:t>
      </w:r>
    </w:p>
    <w:p w:rsidR="00C33EE6" w:rsidRDefault="00586869">
      <w:pPr>
        <w:ind w:firstLine="284"/>
        <w:jc w:val="both"/>
      </w:pPr>
      <w:r>
        <w:t>2.11. Железнодорожные эстакады для слива легковоспламеняющихся жидкостей с температурой вспышки менее 28</w:t>
      </w:r>
      <w:proofErr w:type="gramStart"/>
      <w:r>
        <w:t xml:space="preserve"> °С</w:t>
      </w:r>
      <w:proofErr w:type="gramEnd"/>
      <w:r>
        <w:t xml:space="preserve"> следует оборудовать сливными устройствами, обеспечивающими нижний герметизированный слив.</w:t>
      </w:r>
    </w:p>
    <w:p w:rsidR="00C33EE6" w:rsidRDefault="00586869">
      <w:pPr>
        <w:ind w:firstLine="284"/>
        <w:jc w:val="both"/>
      </w:pPr>
      <w:r>
        <w:t xml:space="preserve">2.12. Отпуск нефтепродуктов в автомобильные цистерны необходимо осуществлять только на наличных автомобильных эстакадах. Автомобильные эстакады оборудуют системой улавливания паров наливаемых легковоспламеняющихся жидкостей с температурой вспышки менее 28 </w:t>
      </w:r>
      <w:r>
        <w:sym w:font="Symbol" w:char="F0B0"/>
      </w:r>
      <w:r>
        <w:t>С.</w:t>
      </w:r>
    </w:p>
    <w:p w:rsidR="00C33EE6" w:rsidRDefault="00586869">
      <w:pPr>
        <w:spacing w:before="120" w:after="120"/>
        <w:ind w:firstLine="284"/>
        <w:jc w:val="right"/>
        <w:rPr>
          <w:i/>
        </w:rPr>
      </w:pPr>
      <w:r>
        <w:rPr>
          <w:i/>
        </w:rPr>
        <w:t>Таблица 1</w:t>
      </w:r>
    </w:p>
    <w:p w:rsidR="00C33EE6" w:rsidRDefault="00586869">
      <w:pPr>
        <w:spacing w:after="120"/>
        <w:jc w:val="center"/>
        <w:rPr>
          <w:b/>
        </w:rPr>
      </w:pPr>
      <w:r>
        <w:rPr>
          <w:b/>
        </w:rPr>
        <w:t xml:space="preserve">Значения коэффициентов герметичности, при которых выделение паров из зоны уплотняющего затвора способно дегазироваться за счет </w:t>
      </w:r>
      <w:r w:rsidR="00A8592F">
        <w:rPr>
          <w:b/>
        </w:rPr>
        <w:t>«</w:t>
      </w:r>
      <w:r>
        <w:rPr>
          <w:b/>
        </w:rPr>
        <w:t>малых дыханий</w:t>
      </w:r>
      <w:r w:rsidR="00A8592F">
        <w:rPr>
          <w:b/>
        </w:rPr>
        <w:t>»</w:t>
      </w:r>
    </w:p>
    <w:tbl>
      <w:tblPr>
        <w:tblW w:w="0" w:type="auto"/>
        <w:jc w:val="center"/>
        <w:tblInd w:w="40" w:type="dxa"/>
        <w:tblBorders>
          <w:top w:val="single" w:sz="6" w:space="0" w:color="auto"/>
          <w:left w:val="single" w:sz="6" w:space="0" w:color="auto"/>
          <w:bottom w:val="single" w:sz="6" w:space="0" w:color="auto"/>
          <w:right w:val="single" w:sz="6" w:space="0" w:color="auto"/>
        </w:tblBorders>
        <w:tblLayout w:type="fixed"/>
        <w:tblCellMar>
          <w:left w:w="28" w:type="dxa"/>
          <w:right w:w="28" w:type="dxa"/>
        </w:tblCellMar>
        <w:tblLook w:val="0000" w:firstRow="0" w:lastRow="0" w:firstColumn="0" w:lastColumn="0" w:noHBand="0" w:noVBand="0"/>
      </w:tblPr>
      <w:tblGrid>
        <w:gridCol w:w="3149"/>
        <w:gridCol w:w="3149"/>
      </w:tblGrid>
      <w:tr w:rsidR="00C33EE6" w:rsidTr="00A8592F">
        <w:trPr>
          <w:jc w:val="center"/>
        </w:trPr>
        <w:tc>
          <w:tcPr>
            <w:tcW w:w="3149" w:type="dxa"/>
          </w:tcPr>
          <w:p w:rsidR="00C33EE6" w:rsidRDefault="00586869">
            <w:pPr>
              <w:jc w:val="center"/>
              <w:rPr>
                <w:i/>
              </w:rPr>
            </w:pPr>
            <w:r>
              <w:t>Вместимость РВСП, м</w:t>
            </w:r>
            <w:r>
              <w:rPr>
                <w:vertAlign w:val="superscript"/>
              </w:rPr>
              <w:t>3</w:t>
            </w:r>
          </w:p>
        </w:tc>
        <w:tc>
          <w:tcPr>
            <w:tcW w:w="3149" w:type="dxa"/>
          </w:tcPr>
          <w:p w:rsidR="00C33EE6" w:rsidRDefault="00586869">
            <w:pPr>
              <w:jc w:val="center"/>
            </w:pPr>
            <w:r>
              <w:t>Коэффициент герметичности (</w:t>
            </w:r>
            <w:proofErr w:type="gramStart"/>
            <w:r>
              <w:rPr>
                <w:i/>
              </w:rPr>
              <w:t>К</w:t>
            </w:r>
            <w:r>
              <w:rPr>
                <w:i/>
                <w:vertAlign w:val="subscript"/>
              </w:rPr>
              <w:t>г</w:t>
            </w:r>
            <w:proofErr w:type="gramEnd"/>
            <w:r>
              <w:t>) уплотняющего затвора, м</w:t>
            </w:r>
            <w:r>
              <w:sym w:font="Symbol" w:char="F0D7"/>
            </w:r>
            <w:r>
              <w:t>ч</w:t>
            </w:r>
            <w:r>
              <w:rPr>
                <w:vertAlign w:val="superscript"/>
              </w:rPr>
              <w:t>-1</w:t>
            </w:r>
            <w:r>
              <w:t xml:space="preserve"> </w:t>
            </w:r>
          </w:p>
        </w:tc>
      </w:tr>
      <w:tr w:rsidR="00C33EE6" w:rsidTr="00A8592F">
        <w:trPr>
          <w:jc w:val="center"/>
        </w:trPr>
        <w:tc>
          <w:tcPr>
            <w:tcW w:w="3149" w:type="dxa"/>
          </w:tcPr>
          <w:p w:rsidR="00C33EE6" w:rsidRDefault="00586869">
            <w:pPr>
              <w:jc w:val="center"/>
            </w:pPr>
            <w:r>
              <w:t>400</w:t>
            </w:r>
          </w:p>
        </w:tc>
        <w:tc>
          <w:tcPr>
            <w:tcW w:w="3149" w:type="dxa"/>
          </w:tcPr>
          <w:p w:rsidR="00C33EE6" w:rsidRDefault="00586869">
            <w:pPr>
              <w:jc w:val="center"/>
              <w:rPr>
                <w:i/>
              </w:rPr>
            </w:pPr>
            <w:proofErr w:type="gramStart"/>
            <w:r>
              <w:rPr>
                <w:i/>
              </w:rPr>
              <w:t>К</w:t>
            </w:r>
            <w:r>
              <w:rPr>
                <w:i/>
                <w:vertAlign w:val="subscript"/>
              </w:rPr>
              <w:t>г</w:t>
            </w:r>
            <w:proofErr w:type="gramEnd"/>
            <w:r>
              <w:t xml:space="preserve"> </w:t>
            </w:r>
            <w:r>
              <w:sym w:font="Symbol" w:char="F0A3"/>
            </w:r>
            <w:r>
              <w:t xml:space="preserve"> 1 </w:t>
            </w:r>
            <w:r>
              <w:sym w:font="Symbol" w:char="F0D7"/>
            </w:r>
            <w:r>
              <w:t xml:space="preserve"> 10</w:t>
            </w:r>
            <w:r>
              <w:rPr>
                <w:vertAlign w:val="superscript"/>
              </w:rPr>
              <w:t>-8</w:t>
            </w:r>
          </w:p>
        </w:tc>
      </w:tr>
      <w:tr w:rsidR="00C33EE6" w:rsidTr="00A8592F">
        <w:trPr>
          <w:jc w:val="center"/>
        </w:trPr>
        <w:tc>
          <w:tcPr>
            <w:tcW w:w="3149" w:type="dxa"/>
          </w:tcPr>
          <w:p w:rsidR="00C33EE6" w:rsidRDefault="00586869">
            <w:pPr>
              <w:jc w:val="center"/>
            </w:pPr>
            <w:r>
              <w:t>700, 1000, 2000, 3000</w:t>
            </w:r>
          </w:p>
        </w:tc>
        <w:tc>
          <w:tcPr>
            <w:tcW w:w="3149" w:type="dxa"/>
          </w:tcPr>
          <w:p w:rsidR="00C33EE6" w:rsidRDefault="00586869">
            <w:pPr>
              <w:jc w:val="center"/>
            </w:pPr>
            <w:proofErr w:type="gramStart"/>
            <w:r>
              <w:rPr>
                <w:i/>
              </w:rPr>
              <w:t>К</w:t>
            </w:r>
            <w:r>
              <w:rPr>
                <w:i/>
                <w:vertAlign w:val="subscript"/>
              </w:rPr>
              <w:t>г</w:t>
            </w:r>
            <w:proofErr w:type="gramEnd"/>
            <w:r>
              <w:t xml:space="preserve"> </w:t>
            </w:r>
            <w:r>
              <w:sym w:font="Symbol" w:char="F0A3"/>
            </w:r>
            <w:r>
              <w:t xml:space="preserve"> 1 </w:t>
            </w:r>
            <w:r>
              <w:sym w:font="Symbol" w:char="F0D7"/>
            </w:r>
            <w:r>
              <w:t xml:space="preserve"> 10</w:t>
            </w:r>
            <w:r>
              <w:rPr>
                <w:vertAlign w:val="superscript"/>
              </w:rPr>
              <w:t>-7</w:t>
            </w:r>
          </w:p>
        </w:tc>
      </w:tr>
      <w:tr w:rsidR="00C33EE6" w:rsidTr="00A8592F">
        <w:trPr>
          <w:jc w:val="center"/>
        </w:trPr>
        <w:tc>
          <w:tcPr>
            <w:tcW w:w="3149" w:type="dxa"/>
          </w:tcPr>
          <w:p w:rsidR="00C33EE6" w:rsidRDefault="00586869">
            <w:pPr>
              <w:jc w:val="center"/>
            </w:pPr>
            <w:r>
              <w:t>5000 и более</w:t>
            </w:r>
          </w:p>
        </w:tc>
        <w:tc>
          <w:tcPr>
            <w:tcW w:w="3149" w:type="dxa"/>
          </w:tcPr>
          <w:p w:rsidR="00C33EE6" w:rsidRDefault="00586869">
            <w:pPr>
              <w:jc w:val="center"/>
            </w:pPr>
            <w:proofErr w:type="gramStart"/>
            <w:r>
              <w:rPr>
                <w:i/>
              </w:rPr>
              <w:t>К</w:t>
            </w:r>
            <w:r>
              <w:rPr>
                <w:i/>
                <w:vertAlign w:val="subscript"/>
              </w:rPr>
              <w:t>г</w:t>
            </w:r>
            <w:proofErr w:type="gramEnd"/>
            <w:r>
              <w:t xml:space="preserve"> </w:t>
            </w:r>
            <w:r>
              <w:sym w:font="Symbol" w:char="F0A3"/>
            </w:r>
            <w:r>
              <w:t xml:space="preserve"> 1 </w:t>
            </w:r>
            <w:r>
              <w:sym w:font="Symbol" w:char="F0D7"/>
            </w:r>
            <w:r>
              <w:t xml:space="preserve"> 10</w:t>
            </w:r>
            <w:r>
              <w:rPr>
                <w:vertAlign w:val="superscript"/>
              </w:rPr>
              <w:t>-6</w:t>
            </w:r>
          </w:p>
        </w:tc>
      </w:tr>
    </w:tbl>
    <w:p w:rsidR="00C33EE6" w:rsidRDefault="00586869">
      <w:pPr>
        <w:spacing w:before="120" w:after="120"/>
        <w:ind w:firstLine="284"/>
        <w:jc w:val="right"/>
        <w:rPr>
          <w:i/>
        </w:rPr>
      </w:pPr>
      <w:r>
        <w:rPr>
          <w:i/>
        </w:rPr>
        <w:t>Таблица 2</w:t>
      </w:r>
    </w:p>
    <w:p w:rsidR="00C33EE6" w:rsidRDefault="00586869">
      <w:pPr>
        <w:spacing w:after="120"/>
        <w:jc w:val="center"/>
        <w:rPr>
          <w:b/>
        </w:rPr>
      </w:pPr>
      <w:r>
        <w:rPr>
          <w:b/>
        </w:rPr>
        <w:t>Число вентиляционных люков, устанавливаемых на крыше резервуара с понтоном</w:t>
      </w:r>
    </w:p>
    <w:tbl>
      <w:tblPr>
        <w:tblW w:w="0" w:type="auto"/>
        <w:jc w:val="center"/>
        <w:tblInd w:w="40" w:type="dxa"/>
        <w:tblLayout w:type="fixed"/>
        <w:tblCellMar>
          <w:left w:w="28" w:type="dxa"/>
          <w:right w:w="28" w:type="dxa"/>
        </w:tblCellMar>
        <w:tblLook w:val="0000" w:firstRow="0" w:lastRow="0" w:firstColumn="0" w:lastColumn="0" w:noHBand="0" w:noVBand="0"/>
      </w:tblPr>
      <w:tblGrid>
        <w:gridCol w:w="3149"/>
        <w:gridCol w:w="3149"/>
      </w:tblGrid>
      <w:tr w:rsidR="00C33EE6" w:rsidTr="00A8592F">
        <w:trPr>
          <w:jc w:val="center"/>
        </w:trPr>
        <w:tc>
          <w:tcPr>
            <w:tcW w:w="3149" w:type="dxa"/>
            <w:tcBorders>
              <w:top w:val="single" w:sz="6" w:space="0" w:color="auto"/>
              <w:left w:val="single" w:sz="6" w:space="0" w:color="auto"/>
              <w:bottom w:val="single" w:sz="6" w:space="0" w:color="auto"/>
              <w:right w:val="single" w:sz="6" w:space="0" w:color="auto"/>
            </w:tcBorders>
          </w:tcPr>
          <w:p w:rsidR="00C33EE6" w:rsidRDefault="00586869">
            <w:pPr>
              <w:jc w:val="center"/>
            </w:pPr>
            <w:r>
              <w:t xml:space="preserve">Диаметр резервуара, </w:t>
            </w:r>
            <w:proofErr w:type="gramStart"/>
            <w:r>
              <w:t>м</w:t>
            </w:r>
            <w:proofErr w:type="gramEnd"/>
          </w:p>
        </w:tc>
        <w:tc>
          <w:tcPr>
            <w:tcW w:w="3149" w:type="dxa"/>
            <w:tcBorders>
              <w:top w:val="single" w:sz="6" w:space="0" w:color="auto"/>
              <w:left w:val="single" w:sz="6" w:space="0" w:color="auto"/>
              <w:bottom w:val="single" w:sz="6" w:space="0" w:color="auto"/>
              <w:right w:val="single" w:sz="6" w:space="0" w:color="auto"/>
            </w:tcBorders>
          </w:tcPr>
          <w:p w:rsidR="00C33EE6" w:rsidRDefault="00586869">
            <w:pPr>
              <w:jc w:val="center"/>
            </w:pPr>
            <w:r>
              <w:t>Число люков</w:t>
            </w:r>
          </w:p>
        </w:tc>
      </w:tr>
      <w:tr w:rsidR="00C33EE6" w:rsidTr="00A8592F">
        <w:trPr>
          <w:jc w:val="center"/>
        </w:trPr>
        <w:tc>
          <w:tcPr>
            <w:tcW w:w="3149" w:type="dxa"/>
            <w:tcBorders>
              <w:top w:val="single" w:sz="6" w:space="0" w:color="auto"/>
              <w:left w:val="single" w:sz="6" w:space="0" w:color="auto"/>
              <w:right w:val="single" w:sz="6" w:space="0" w:color="auto"/>
            </w:tcBorders>
          </w:tcPr>
          <w:p w:rsidR="00C33EE6" w:rsidRDefault="00586869">
            <w:pPr>
              <w:jc w:val="center"/>
            </w:pPr>
            <w:r>
              <w:t>менее 19</w:t>
            </w:r>
          </w:p>
        </w:tc>
        <w:tc>
          <w:tcPr>
            <w:tcW w:w="3149" w:type="dxa"/>
            <w:tcBorders>
              <w:top w:val="single" w:sz="6" w:space="0" w:color="auto"/>
              <w:left w:val="single" w:sz="6" w:space="0" w:color="auto"/>
              <w:right w:val="single" w:sz="6" w:space="0" w:color="auto"/>
            </w:tcBorders>
          </w:tcPr>
          <w:p w:rsidR="00C33EE6" w:rsidRDefault="00586869">
            <w:pPr>
              <w:jc w:val="center"/>
            </w:pPr>
            <w:r>
              <w:t>4</w:t>
            </w:r>
          </w:p>
        </w:tc>
      </w:tr>
      <w:tr w:rsidR="00C33EE6" w:rsidTr="00A8592F">
        <w:trPr>
          <w:jc w:val="center"/>
        </w:trPr>
        <w:tc>
          <w:tcPr>
            <w:tcW w:w="3149" w:type="dxa"/>
            <w:tcBorders>
              <w:left w:val="single" w:sz="6" w:space="0" w:color="auto"/>
              <w:right w:val="single" w:sz="6" w:space="0" w:color="auto"/>
            </w:tcBorders>
          </w:tcPr>
          <w:p w:rsidR="00C33EE6" w:rsidRDefault="00586869">
            <w:pPr>
              <w:jc w:val="center"/>
            </w:pPr>
            <w:r>
              <w:t>19-23</w:t>
            </w:r>
          </w:p>
        </w:tc>
        <w:tc>
          <w:tcPr>
            <w:tcW w:w="3149" w:type="dxa"/>
            <w:tcBorders>
              <w:left w:val="single" w:sz="6" w:space="0" w:color="auto"/>
              <w:right w:val="single" w:sz="6" w:space="0" w:color="auto"/>
            </w:tcBorders>
          </w:tcPr>
          <w:p w:rsidR="00C33EE6" w:rsidRDefault="00586869">
            <w:pPr>
              <w:jc w:val="center"/>
            </w:pPr>
            <w:r>
              <w:t>6</w:t>
            </w:r>
          </w:p>
        </w:tc>
      </w:tr>
      <w:tr w:rsidR="00C33EE6" w:rsidTr="00A8592F">
        <w:trPr>
          <w:jc w:val="center"/>
        </w:trPr>
        <w:tc>
          <w:tcPr>
            <w:tcW w:w="3149" w:type="dxa"/>
            <w:tcBorders>
              <w:left w:val="single" w:sz="6" w:space="0" w:color="auto"/>
              <w:bottom w:val="single" w:sz="6" w:space="0" w:color="auto"/>
              <w:right w:val="single" w:sz="6" w:space="0" w:color="auto"/>
            </w:tcBorders>
          </w:tcPr>
          <w:p w:rsidR="00C33EE6" w:rsidRDefault="00586869">
            <w:pPr>
              <w:jc w:val="center"/>
            </w:pPr>
            <w:r>
              <w:t>более 23</w:t>
            </w:r>
          </w:p>
        </w:tc>
        <w:tc>
          <w:tcPr>
            <w:tcW w:w="3149" w:type="dxa"/>
            <w:tcBorders>
              <w:left w:val="single" w:sz="6" w:space="0" w:color="auto"/>
              <w:bottom w:val="single" w:sz="6" w:space="0" w:color="auto"/>
              <w:right w:val="single" w:sz="6" w:space="0" w:color="auto"/>
            </w:tcBorders>
          </w:tcPr>
          <w:p w:rsidR="00C33EE6" w:rsidRDefault="00586869">
            <w:pPr>
              <w:jc w:val="center"/>
            </w:pPr>
            <w:r>
              <w:t>12</w:t>
            </w:r>
          </w:p>
        </w:tc>
      </w:tr>
    </w:tbl>
    <w:p w:rsidR="00C33EE6" w:rsidRDefault="00586869">
      <w:pPr>
        <w:spacing w:before="120" w:after="120"/>
        <w:ind w:firstLine="284"/>
        <w:jc w:val="right"/>
        <w:rPr>
          <w:i/>
        </w:rPr>
      </w:pPr>
      <w:r>
        <w:rPr>
          <w:i/>
        </w:rPr>
        <w:t xml:space="preserve">Таблица 3 </w:t>
      </w:r>
    </w:p>
    <w:p w:rsidR="00C33EE6" w:rsidRDefault="00586869">
      <w:pPr>
        <w:spacing w:after="120"/>
        <w:jc w:val="center"/>
        <w:rPr>
          <w:b/>
        </w:rPr>
      </w:pPr>
      <w:r>
        <w:rPr>
          <w:b/>
        </w:rPr>
        <w:t>Параметры проема вентиляционного люка</w:t>
      </w:r>
    </w:p>
    <w:tbl>
      <w:tblPr>
        <w:tblW w:w="0" w:type="auto"/>
        <w:jc w:val="center"/>
        <w:tblInd w:w="40" w:type="dxa"/>
        <w:tblLayout w:type="fixed"/>
        <w:tblCellMar>
          <w:left w:w="28" w:type="dxa"/>
          <w:right w:w="28" w:type="dxa"/>
        </w:tblCellMar>
        <w:tblLook w:val="0000" w:firstRow="0" w:lastRow="0" w:firstColumn="0" w:lastColumn="0" w:noHBand="0" w:noVBand="0"/>
      </w:tblPr>
      <w:tblGrid>
        <w:gridCol w:w="555"/>
        <w:gridCol w:w="1134"/>
        <w:gridCol w:w="1134"/>
        <w:gridCol w:w="1134"/>
        <w:gridCol w:w="2342"/>
      </w:tblGrid>
      <w:tr w:rsidR="00C33EE6" w:rsidTr="00A8592F">
        <w:trPr>
          <w:jc w:val="center"/>
        </w:trPr>
        <w:tc>
          <w:tcPr>
            <w:tcW w:w="555" w:type="dxa"/>
            <w:tcBorders>
              <w:top w:val="single" w:sz="6" w:space="0" w:color="auto"/>
              <w:left w:val="single" w:sz="6" w:space="0" w:color="auto"/>
              <w:right w:val="single" w:sz="6" w:space="0" w:color="auto"/>
            </w:tcBorders>
          </w:tcPr>
          <w:p w:rsidR="00C33EE6" w:rsidRDefault="00586869">
            <w:pPr>
              <w:jc w:val="center"/>
            </w:pPr>
            <w:r>
              <w:t xml:space="preserve">Тип </w:t>
            </w:r>
            <w:proofErr w:type="gramStart"/>
            <w:r>
              <w:t>про</w:t>
            </w:r>
            <w:proofErr w:type="gramEnd"/>
            <w:r>
              <w:t>-</w:t>
            </w:r>
          </w:p>
        </w:tc>
        <w:tc>
          <w:tcPr>
            <w:tcW w:w="3402" w:type="dxa"/>
            <w:gridSpan w:val="3"/>
            <w:tcBorders>
              <w:top w:val="single" w:sz="6" w:space="0" w:color="auto"/>
              <w:left w:val="single" w:sz="6" w:space="0" w:color="auto"/>
              <w:bottom w:val="single" w:sz="6" w:space="0" w:color="auto"/>
              <w:right w:val="single" w:sz="6" w:space="0" w:color="auto"/>
            </w:tcBorders>
          </w:tcPr>
          <w:p w:rsidR="00C33EE6" w:rsidRDefault="00586869">
            <w:pPr>
              <w:jc w:val="center"/>
            </w:pPr>
            <w:r>
              <w:t>Параметры проема вентиляционного люки</w:t>
            </w:r>
          </w:p>
        </w:tc>
        <w:tc>
          <w:tcPr>
            <w:tcW w:w="2342" w:type="dxa"/>
            <w:tcBorders>
              <w:top w:val="single" w:sz="6" w:space="0" w:color="auto"/>
              <w:left w:val="single" w:sz="6" w:space="0" w:color="auto"/>
              <w:right w:val="single" w:sz="6" w:space="0" w:color="auto"/>
            </w:tcBorders>
          </w:tcPr>
          <w:p w:rsidR="00C33EE6" w:rsidRDefault="00586869">
            <w:pPr>
              <w:jc w:val="center"/>
            </w:pPr>
            <w:proofErr w:type="gramStart"/>
            <w:r>
              <w:t xml:space="preserve">Область применения (климатические районы и </w:t>
            </w:r>
            <w:proofErr w:type="gramEnd"/>
          </w:p>
        </w:tc>
      </w:tr>
      <w:tr w:rsidR="00C33EE6" w:rsidTr="00A8592F">
        <w:trPr>
          <w:jc w:val="center"/>
        </w:trPr>
        <w:tc>
          <w:tcPr>
            <w:tcW w:w="555" w:type="dxa"/>
            <w:tcBorders>
              <w:left w:val="single" w:sz="6" w:space="0" w:color="auto"/>
              <w:bottom w:val="single" w:sz="6" w:space="0" w:color="auto"/>
              <w:right w:val="single" w:sz="6" w:space="0" w:color="auto"/>
            </w:tcBorders>
          </w:tcPr>
          <w:p w:rsidR="00C33EE6" w:rsidRDefault="00586869">
            <w:pPr>
              <w:jc w:val="center"/>
            </w:pPr>
            <w:proofErr w:type="spellStart"/>
            <w:r>
              <w:t>ема</w:t>
            </w:r>
            <w:proofErr w:type="spellEnd"/>
          </w:p>
        </w:tc>
        <w:tc>
          <w:tcPr>
            <w:tcW w:w="1134" w:type="dxa"/>
            <w:tcBorders>
              <w:top w:val="single" w:sz="6" w:space="0" w:color="auto"/>
              <w:left w:val="single" w:sz="6" w:space="0" w:color="auto"/>
              <w:bottom w:val="single" w:sz="6" w:space="0" w:color="auto"/>
              <w:right w:val="single" w:sz="6" w:space="0" w:color="auto"/>
            </w:tcBorders>
          </w:tcPr>
          <w:p w:rsidR="00C33EE6" w:rsidRDefault="00586869">
            <w:pPr>
              <w:jc w:val="center"/>
            </w:pPr>
            <w:r>
              <w:t>Площадь, м</w:t>
            </w:r>
            <w:proofErr w:type="gramStart"/>
            <w:r>
              <w:rPr>
                <w:vertAlign w:val="superscript"/>
              </w:rPr>
              <w:t>2</w:t>
            </w:r>
            <w:proofErr w:type="gramEnd"/>
          </w:p>
        </w:tc>
        <w:tc>
          <w:tcPr>
            <w:tcW w:w="1134" w:type="dxa"/>
            <w:tcBorders>
              <w:top w:val="single" w:sz="6" w:space="0" w:color="auto"/>
              <w:left w:val="single" w:sz="6" w:space="0" w:color="auto"/>
              <w:bottom w:val="single" w:sz="6" w:space="0" w:color="auto"/>
              <w:right w:val="single" w:sz="6" w:space="0" w:color="auto"/>
            </w:tcBorders>
          </w:tcPr>
          <w:p w:rsidR="00C33EE6" w:rsidRDefault="00586869">
            <w:pPr>
              <w:jc w:val="center"/>
            </w:pPr>
            <w:r>
              <w:t xml:space="preserve">Ширина, </w:t>
            </w:r>
            <w:proofErr w:type="gramStart"/>
            <w:r>
              <w:t>м</w:t>
            </w:r>
            <w:proofErr w:type="gramEnd"/>
          </w:p>
        </w:tc>
        <w:tc>
          <w:tcPr>
            <w:tcW w:w="1134" w:type="dxa"/>
            <w:tcBorders>
              <w:top w:val="single" w:sz="6" w:space="0" w:color="auto"/>
              <w:left w:val="single" w:sz="6" w:space="0" w:color="auto"/>
              <w:bottom w:val="single" w:sz="6" w:space="0" w:color="auto"/>
              <w:right w:val="single" w:sz="6" w:space="0" w:color="auto"/>
            </w:tcBorders>
          </w:tcPr>
          <w:p w:rsidR="00C33EE6" w:rsidRDefault="00586869">
            <w:pPr>
              <w:jc w:val="center"/>
            </w:pPr>
            <w:r>
              <w:t xml:space="preserve">Высота, </w:t>
            </w:r>
            <w:proofErr w:type="gramStart"/>
            <w:r>
              <w:t>м</w:t>
            </w:r>
            <w:proofErr w:type="gramEnd"/>
          </w:p>
        </w:tc>
        <w:tc>
          <w:tcPr>
            <w:tcW w:w="2342" w:type="dxa"/>
            <w:tcBorders>
              <w:left w:val="single" w:sz="6" w:space="0" w:color="auto"/>
              <w:bottom w:val="single" w:sz="6" w:space="0" w:color="auto"/>
              <w:right w:val="single" w:sz="6" w:space="0" w:color="auto"/>
            </w:tcBorders>
          </w:tcPr>
          <w:p w:rsidR="00C33EE6" w:rsidRDefault="00586869">
            <w:pPr>
              <w:jc w:val="center"/>
            </w:pPr>
            <w:r>
              <w:t>подрайоны)</w:t>
            </w:r>
          </w:p>
        </w:tc>
      </w:tr>
      <w:tr w:rsidR="00C33EE6" w:rsidTr="00A8592F">
        <w:trPr>
          <w:jc w:val="center"/>
        </w:trPr>
        <w:tc>
          <w:tcPr>
            <w:tcW w:w="555" w:type="dxa"/>
            <w:tcBorders>
              <w:top w:val="single" w:sz="6" w:space="0" w:color="auto"/>
              <w:left w:val="single" w:sz="6" w:space="0" w:color="auto"/>
              <w:bottom w:val="single" w:sz="6" w:space="0" w:color="auto"/>
              <w:right w:val="single" w:sz="6" w:space="0" w:color="auto"/>
            </w:tcBorders>
          </w:tcPr>
          <w:p w:rsidR="00C33EE6" w:rsidRDefault="00586869">
            <w:pPr>
              <w:jc w:val="center"/>
            </w:pPr>
            <w:r>
              <w:t>1</w:t>
            </w:r>
          </w:p>
        </w:tc>
        <w:tc>
          <w:tcPr>
            <w:tcW w:w="1134" w:type="dxa"/>
            <w:tcBorders>
              <w:top w:val="single" w:sz="6" w:space="0" w:color="auto"/>
              <w:left w:val="single" w:sz="6" w:space="0" w:color="auto"/>
              <w:bottom w:val="single" w:sz="6" w:space="0" w:color="auto"/>
              <w:right w:val="single" w:sz="6" w:space="0" w:color="auto"/>
            </w:tcBorders>
          </w:tcPr>
          <w:p w:rsidR="00C33EE6" w:rsidRDefault="00586869">
            <w:pPr>
              <w:jc w:val="center"/>
            </w:pPr>
            <w:r>
              <w:t>0,095</w:t>
            </w:r>
          </w:p>
        </w:tc>
        <w:tc>
          <w:tcPr>
            <w:tcW w:w="1134" w:type="dxa"/>
            <w:tcBorders>
              <w:top w:val="single" w:sz="6" w:space="0" w:color="auto"/>
              <w:left w:val="single" w:sz="6" w:space="0" w:color="auto"/>
              <w:bottom w:val="single" w:sz="6" w:space="0" w:color="auto"/>
              <w:right w:val="single" w:sz="6" w:space="0" w:color="auto"/>
            </w:tcBorders>
          </w:tcPr>
          <w:p w:rsidR="00C33EE6" w:rsidRDefault="00586869">
            <w:pPr>
              <w:jc w:val="center"/>
            </w:pPr>
            <w:r>
              <w:t>0,401</w:t>
            </w:r>
          </w:p>
        </w:tc>
        <w:tc>
          <w:tcPr>
            <w:tcW w:w="1134" w:type="dxa"/>
            <w:tcBorders>
              <w:top w:val="single" w:sz="6" w:space="0" w:color="auto"/>
              <w:left w:val="single" w:sz="6" w:space="0" w:color="auto"/>
              <w:bottom w:val="single" w:sz="6" w:space="0" w:color="auto"/>
              <w:right w:val="single" w:sz="6" w:space="0" w:color="auto"/>
            </w:tcBorders>
          </w:tcPr>
          <w:p w:rsidR="00C33EE6" w:rsidRDefault="00586869">
            <w:pPr>
              <w:jc w:val="center"/>
            </w:pPr>
            <w:r>
              <w:t>0,237</w:t>
            </w:r>
          </w:p>
        </w:tc>
        <w:tc>
          <w:tcPr>
            <w:tcW w:w="2342" w:type="dxa"/>
            <w:tcBorders>
              <w:top w:val="single" w:sz="6" w:space="0" w:color="auto"/>
              <w:left w:val="single" w:sz="6" w:space="0" w:color="auto"/>
              <w:bottom w:val="single" w:sz="6" w:space="0" w:color="auto"/>
              <w:right w:val="single" w:sz="6" w:space="0" w:color="auto"/>
            </w:tcBorders>
          </w:tcPr>
          <w:p w:rsidR="00C33EE6" w:rsidRDefault="00586869">
            <w:pPr>
              <w:jc w:val="center"/>
            </w:pPr>
            <w:r>
              <w:rPr>
                <w:lang w:val="en-US"/>
              </w:rPr>
              <w:t>I</w:t>
            </w:r>
            <w:r>
              <w:t xml:space="preserve">Б, </w:t>
            </w:r>
            <w:r>
              <w:rPr>
                <w:lang w:val="en-US"/>
              </w:rPr>
              <w:t>I</w:t>
            </w:r>
            <w:r>
              <w:t xml:space="preserve">Г, </w:t>
            </w:r>
            <w:r>
              <w:rPr>
                <w:lang w:val="en-US"/>
              </w:rPr>
              <w:t>II</w:t>
            </w:r>
            <w:r>
              <w:t>А</w:t>
            </w:r>
          </w:p>
        </w:tc>
      </w:tr>
      <w:tr w:rsidR="00C33EE6" w:rsidTr="00A8592F">
        <w:trPr>
          <w:jc w:val="center"/>
        </w:trPr>
        <w:tc>
          <w:tcPr>
            <w:tcW w:w="555" w:type="dxa"/>
            <w:tcBorders>
              <w:top w:val="single" w:sz="6" w:space="0" w:color="auto"/>
              <w:left w:val="single" w:sz="6" w:space="0" w:color="auto"/>
              <w:bottom w:val="single" w:sz="6" w:space="0" w:color="auto"/>
              <w:right w:val="single" w:sz="6" w:space="0" w:color="auto"/>
            </w:tcBorders>
          </w:tcPr>
          <w:p w:rsidR="00C33EE6" w:rsidRDefault="00586869">
            <w:pPr>
              <w:jc w:val="center"/>
            </w:pPr>
            <w:r>
              <w:t>2</w:t>
            </w:r>
          </w:p>
        </w:tc>
        <w:tc>
          <w:tcPr>
            <w:tcW w:w="1134" w:type="dxa"/>
            <w:tcBorders>
              <w:top w:val="single" w:sz="6" w:space="0" w:color="auto"/>
              <w:left w:val="single" w:sz="6" w:space="0" w:color="auto"/>
              <w:bottom w:val="single" w:sz="6" w:space="0" w:color="auto"/>
              <w:right w:val="single" w:sz="6" w:space="0" w:color="auto"/>
            </w:tcBorders>
          </w:tcPr>
          <w:p w:rsidR="00C33EE6" w:rsidRDefault="00586869">
            <w:pPr>
              <w:jc w:val="center"/>
            </w:pPr>
            <w:r>
              <w:t>0,125</w:t>
            </w:r>
          </w:p>
        </w:tc>
        <w:tc>
          <w:tcPr>
            <w:tcW w:w="1134" w:type="dxa"/>
            <w:tcBorders>
              <w:top w:val="single" w:sz="6" w:space="0" w:color="auto"/>
              <w:left w:val="single" w:sz="6" w:space="0" w:color="auto"/>
              <w:bottom w:val="single" w:sz="6" w:space="0" w:color="auto"/>
              <w:right w:val="single" w:sz="6" w:space="0" w:color="auto"/>
            </w:tcBorders>
          </w:tcPr>
          <w:p w:rsidR="00C33EE6" w:rsidRDefault="00586869">
            <w:pPr>
              <w:jc w:val="center"/>
            </w:pPr>
            <w:r>
              <w:t>0,461</w:t>
            </w:r>
          </w:p>
        </w:tc>
        <w:tc>
          <w:tcPr>
            <w:tcW w:w="1134" w:type="dxa"/>
            <w:tcBorders>
              <w:top w:val="single" w:sz="6" w:space="0" w:color="auto"/>
              <w:left w:val="single" w:sz="6" w:space="0" w:color="auto"/>
              <w:bottom w:val="single" w:sz="6" w:space="0" w:color="auto"/>
              <w:right w:val="single" w:sz="6" w:space="0" w:color="auto"/>
            </w:tcBorders>
          </w:tcPr>
          <w:p w:rsidR="00C33EE6" w:rsidRDefault="00586869">
            <w:pPr>
              <w:jc w:val="center"/>
            </w:pPr>
            <w:r>
              <w:t>0,271</w:t>
            </w:r>
          </w:p>
        </w:tc>
        <w:tc>
          <w:tcPr>
            <w:tcW w:w="2342" w:type="dxa"/>
            <w:tcBorders>
              <w:top w:val="single" w:sz="6" w:space="0" w:color="auto"/>
              <w:left w:val="single" w:sz="6" w:space="0" w:color="auto"/>
              <w:bottom w:val="single" w:sz="6" w:space="0" w:color="auto"/>
              <w:right w:val="single" w:sz="6" w:space="0" w:color="auto"/>
            </w:tcBorders>
          </w:tcPr>
          <w:p w:rsidR="00C33EE6" w:rsidRDefault="00586869">
            <w:pPr>
              <w:jc w:val="center"/>
            </w:pPr>
            <w:r>
              <w:rPr>
                <w:lang w:val="en-US"/>
              </w:rPr>
              <w:t>I</w:t>
            </w:r>
            <w:r>
              <w:t xml:space="preserve">А, </w:t>
            </w:r>
            <w:r>
              <w:rPr>
                <w:lang w:val="en-US"/>
              </w:rPr>
              <w:t>I</w:t>
            </w:r>
            <w:r>
              <w:t xml:space="preserve">В, </w:t>
            </w:r>
            <w:r>
              <w:rPr>
                <w:lang w:val="en-US"/>
              </w:rPr>
              <w:t>I</w:t>
            </w:r>
            <w:r>
              <w:t xml:space="preserve">Д, </w:t>
            </w:r>
            <w:r>
              <w:rPr>
                <w:lang w:val="en-US"/>
              </w:rPr>
              <w:t>II</w:t>
            </w:r>
            <w:r>
              <w:t xml:space="preserve">Б, </w:t>
            </w:r>
            <w:r>
              <w:rPr>
                <w:lang w:val="en-US"/>
              </w:rPr>
              <w:t>II</w:t>
            </w:r>
            <w:r>
              <w:t xml:space="preserve">В, </w:t>
            </w:r>
            <w:r>
              <w:rPr>
                <w:lang w:val="en-US"/>
              </w:rPr>
              <w:t>II</w:t>
            </w:r>
            <w:r>
              <w:t>Е</w:t>
            </w:r>
          </w:p>
        </w:tc>
      </w:tr>
      <w:tr w:rsidR="00C33EE6" w:rsidTr="00A8592F">
        <w:trPr>
          <w:jc w:val="center"/>
        </w:trPr>
        <w:tc>
          <w:tcPr>
            <w:tcW w:w="555" w:type="dxa"/>
            <w:tcBorders>
              <w:top w:val="single" w:sz="6" w:space="0" w:color="auto"/>
              <w:left w:val="single" w:sz="6" w:space="0" w:color="auto"/>
              <w:bottom w:val="single" w:sz="6" w:space="0" w:color="auto"/>
              <w:right w:val="single" w:sz="6" w:space="0" w:color="auto"/>
            </w:tcBorders>
          </w:tcPr>
          <w:p w:rsidR="00C33EE6" w:rsidRDefault="00586869">
            <w:pPr>
              <w:jc w:val="center"/>
            </w:pPr>
            <w:r>
              <w:t>3</w:t>
            </w:r>
          </w:p>
        </w:tc>
        <w:tc>
          <w:tcPr>
            <w:tcW w:w="1134" w:type="dxa"/>
            <w:tcBorders>
              <w:top w:val="single" w:sz="6" w:space="0" w:color="auto"/>
              <w:left w:val="single" w:sz="6" w:space="0" w:color="auto"/>
              <w:bottom w:val="single" w:sz="6" w:space="0" w:color="auto"/>
              <w:right w:val="single" w:sz="6" w:space="0" w:color="auto"/>
            </w:tcBorders>
          </w:tcPr>
          <w:p w:rsidR="00C33EE6" w:rsidRDefault="00586869">
            <w:pPr>
              <w:jc w:val="center"/>
            </w:pPr>
            <w:r>
              <w:t>0,167</w:t>
            </w:r>
          </w:p>
        </w:tc>
        <w:tc>
          <w:tcPr>
            <w:tcW w:w="1134" w:type="dxa"/>
            <w:tcBorders>
              <w:top w:val="single" w:sz="6" w:space="0" w:color="auto"/>
              <w:left w:val="single" w:sz="6" w:space="0" w:color="auto"/>
              <w:bottom w:val="single" w:sz="6" w:space="0" w:color="auto"/>
              <w:right w:val="single" w:sz="6" w:space="0" w:color="auto"/>
            </w:tcBorders>
          </w:tcPr>
          <w:p w:rsidR="00C33EE6" w:rsidRDefault="00586869">
            <w:pPr>
              <w:jc w:val="center"/>
            </w:pPr>
            <w:r>
              <w:t>0,532</w:t>
            </w:r>
          </w:p>
        </w:tc>
        <w:tc>
          <w:tcPr>
            <w:tcW w:w="1134" w:type="dxa"/>
            <w:tcBorders>
              <w:top w:val="single" w:sz="6" w:space="0" w:color="auto"/>
              <w:left w:val="single" w:sz="6" w:space="0" w:color="auto"/>
              <w:bottom w:val="single" w:sz="6" w:space="0" w:color="auto"/>
              <w:right w:val="single" w:sz="6" w:space="0" w:color="auto"/>
            </w:tcBorders>
          </w:tcPr>
          <w:p w:rsidR="00C33EE6" w:rsidRDefault="00586869">
            <w:pPr>
              <w:jc w:val="center"/>
            </w:pPr>
            <w:r>
              <w:t>0,313</w:t>
            </w:r>
          </w:p>
        </w:tc>
        <w:tc>
          <w:tcPr>
            <w:tcW w:w="2342" w:type="dxa"/>
            <w:tcBorders>
              <w:top w:val="single" w:sz="6" w:space="0" w:color="auto"/>
              <w:left w:val="single" w:sz="6" w:space="0" w:color="auto"/>
              <w:bottom w:val="single" w:sz="6" w:space="0" w:color="auto"/>
              <w:right w:val="single" w:sz="6" w:space="0" w:color="auto"/>
            </w:tcBorders>
          </w:tcPr>
          <w:p w:rsidR="00C33EE6" w:rsidRDefault="00586869">
            <w:pPr>
              <w:jc w:val="center"/>
            </w:pPr>
            <w:r>
              <w:rPr>
                <w:lang w:val="en-US"/>
              </w:rPr>
              <w:t>III</w:t>
            </w:r>
            <w:r>
              <w:t xml:space="preserve">А, </w:t>
            </w:r>
            <w:r>
              <w:rPr>
                <w:lang w:val="en-US"/>
              </w:rPr>
              <w:t>III</w:t>
            </w:r>
            <w:r>
              <w:t xml:space="preserve">Б, </w:t>
            </w:r>
            <w:r>
              <w:rPr>
                <w:lang w:val="en-US"/>
              </w:rPr>
              <w:t>III</w:t>
            </w:r>
            <w:r>
              <w:t xml:space="preserve">В, </w:t>
            </w:r>
            <w:r>
              <w:rPr>
                <w:lang w:val="en-US"/>
              </w:rPr>
              <w:t>IV</w:t>
            </w:r>
            <w:r>
              <w:t xml:space="preserve">А, </w:t>
            </w:r>
            <w:r>
              <w:rPr>
                <w:lang w:val="en-US"/>
              </w:rPr>
              <w:t>IV</w:t>
            </w:r>
            <w:r>
              <w:t xml:space="preserve">Б, </w:t>
            </w:r>
            <w:r>
              <w:rPr>
                <w:lang w:val="en-US"/>
              </w:rPr>
              <w:t>IV</w:t>
            </w:r>
            <w:r>
              <w:t xml:space="preserve">В, </w:t>
            </w:r>
            <w:r>
              <w:rPr>
                <w:lang w:val="en-US"/>
              </w:rPr>
              <w:t>IV</w:t>
            </w:r>
            <w:r>
              <w:t>Г</w:t>
            </w:r>
          </w:p>
        </w:tc>
      </w:tr>
    </w:tbl>
    <w:p w:rsidR="00C33EE6" w:rsidRDefault="00586869">
      <w:pPr>
        <w:pStyle w:val="1"/>
      </w:pPr>
      <w:r>
        <w:t>3. ПРОТИВОАВАРИЙНАЯ ЗАЩИТА</w:t>
      </w:r>
    </w:p>
    <w:p w:rsidR="00C33EE6" w:rsidRDefault="00586869">
      <w:pPr>
        <w:ind w:firstLine="284"/>
        <w:jc w:val="both"/>
      </w:pPr>
      <w:r>
        <w:t xml:space="preserve">3.1. Противоаварийная защита - комплекс дополнительных технических и организационных мероприятий, обеспечивающих устойчивость технологии наземного, хранения нефтепродукта к его неконтролируемому (аварийному) выходу, с последующими эшелонами защиты по </w:t>
      </w:r>
      <w:r>
        <w:lastRenderedPageBreak/>
        <w:t>ограничению площади разлива нефтепродукта вплоть до предотвращения контакта взрывоопасного облака с возможными источниками зажигания.</w:t>
      </w:r>
    </w:p>
    <w:p w:rsidR="00C33EE6" w:rsidRDefault="00586869">
      <w:pPr>
        <w:ind w:firstLine="284"/>
        <w:jc w:val="both"/>
      </w:pPr>
      <w:r>
        <w:t xml:space="preserve">3.2. Эксплуатируемую резервуарную емкость в полном объеме следует подвергнуть комплексному обследованию </w:t>
      </w:r>
      <w:proofErr w:type="gramStart"/>
      <w:r>
        <w:t>в соответствии с действующими нормативными документами на предмет ее дальнейшей безопасной эксплуатации с выдачей технического заключения об её состоянии</w:t>
      </w:r>
      <w:proofErr w:type="gramEnd"/>
      <w:r>
        <w:t>.</w:t>
      </w:r>
    </w:p>
    <w:p w:rsidR="00C33EE6" w:rsidRDefault="00586869">
      <w:pPr>
        <w:ind w:firstLine="284"/>
        <w:jc w:val="both"/>
      </w:pPr>
      <w:r>
        <w:t xml:space="preserve">3.3. Плановый </w:t>
      </w:r>
      <w:proofErr w:type="gramStart"/>
      <w:r>
        <w:t>контроль за</w:t>
      </w:r>
      <w:proofErr w:type="gramEnd"/>
      <w:r>
        <w:t xml:space="preserve"> техническим состоянием резервуаров, в том числе и их днищ, осуществляется в соответствии с действующей системой планово-предупредительных ремонтов оборудования.</w:t>
      </w:r>
    </w:p>
    <w:p w:rsidR="00C33EE6" w:rsidRDefault="00586869">
      <w:pPr>
        <w:ind w:firstLine="284"/>
        <w:jc w:val="both"/>
      </w:pPr>
      <w:r>
        <w:t>3.4. При замене резервуаров на новые фундаменты следует оборудовать радиальными каналами, обеспечивающими визуальный контроль возможной утечки нефтепродукта из днища резервуара и его отвод на локальные очистные сооружения.</w:t>
      </w:r>
    </w:p>
    <w:p w:rsidR="00C33EE6" w:rsidRDefault="00586869">
      <w:pPr>
        <w:ind w:firstLine="284"/>
        <w:jc w:val="both"/>
      </w:pPr>
      <w:r>
        <w:t>3.5. В качестве дополнительных мер, направленных на ограничение площади аварийного разлива нефтепродуктов на случай полного (хрупкого) разрушения резервуара, следует рассматривать:</w:t>
      </w:r>
    </w:p>
    <w:p w:rsidR="00C33EE6" w:rsidRDefault="00586869">
      <w:pPr>
        <w:ind w:firstLine="284"/>
        <w:jc w:val="both"/>
      </w:pPr>
      <w:r>
        <w:t>устройство специальной защитной стены обвалования, способной удерживать жидкость в случае полного разрушения резервуара (прил. 5);</w:t>
      </w:r>
    </w:p>
    <w:p w:rsidR="00C33EE6" w:rsidRDefault="00586869">
      <w:pPr>
        <w:ind w:firstLine="284"/>
        <w:jc w:val="both"/>
      </w:pPr>
      <w:r>
        <w:t>использование кольцевой дороги вокруг группы резервуаров, имеющей возвышение не менее 1,5 м над планировочной отметкой внутри основного обвалования;</w:t>
      </w:r>
    </w:p>
    <w:p w:rsidR="00C33EE6" w:rsidRDefault="00586869">
      <w:pPr>
        <w:ind w:firstLine="284"/>
        <w:jc w:val="both"/>
      </w:pPr>
      <w:r>
        <w:t>устройство вокруг территории нефтебазы или наливного пункта глухого железобетонного забора.</w:t>
      </w:r>
    </w:p>
    <w:p w:rsidR="00C33EE6" w:rsidRDefault="00586869">
      <w:pPr>
        <w:ind w:firstLine="284"/>
        <w:jc w:val="both"/>
      </w:pPr>
      <w:r>
        <w:t>3.6. Временными мерами, до выполнения требований п. 3.5, обеспечивающими как снижение опасности хрупкого разрушения резервуара, так и последствий разрушения, могут быть:</w:t>
      </w:r>
    </w:p>
    <w:p w:rsidR="00C33EE6" w:rsidRDefault="00586869">
      <w:pPr>
        <w:ind w:firstLine="284"/>
        <w:jc w:val="both"/>
      </w:pPr>
      <w:proofErr w:type="spellStart"/>
      <w:r>
        <w:t>бандажирование</w:t>
      </w:r>
      <w:proofErr w:type="spellEnd"/>
      <w:r>
        <w:t xml:space="preserve"> стенок резервуаров согласно действующим нормативным документам;</w:t>
      </w:r>
    </w:p>
    <w:p w:rsidR="00C33EE6" w:rsidRDefault="00586869">
      <w:pPr>
        <w:ind w:firstLine="284"/>
        <w:jc w:val="both"/>
      </w:pPr>
      <w:r>
        <w:t xml:space="preserve">регламентирование максимального уровня </w:t>
      </w:r>
      <w:proofErr w:type="spellStart"/>
      <w:r>
        <w:t>взлива</w:t>
      </w:r>
      <w:proofErr w:type="spellEnd"/>
      <w:r>
        <w:t xml:space="preserve"> нефтепродукта с учетом технического состояния резервуара.</w:t>
      </w:r>
    </w:p>
    <w:p w:rsidR="00C33EE6" w:rsidRDefault="00586869">
      <w:pPr>
        <w:ind w:firstLine="284"/>
        <w:jc w:val="both"/>
      </w:pPr>
      <w:r>
        <w:t>3.7. Электроприводные задвижки должны устанавливаться за пределами обвалования.</w:t>
      </w:r>
    </w:p>
    <w:p w:rsidR="00C33EE6" w:rsidRDefault="00586869">
      <w:pPr>
        <w:ind w:firstLine="284"/>
        <w:jc w:val="both"/>
      </w:pPr>
      <w:r>
        <w:t xml:space="preserve">3.8. </w:t>
      </w:r>
      <w:proofErr w:type="spellStart"/>
      <w:r>
        <w:t>Молниезащиту</w:t>
      </w:r>
      <w:proofErr w:type="spellEnd"/>
      <w:r>
        <w:t xml:space="preserve"> резервуарного парка целесообразно выполнять в виде отдельно стоящих стержневых молниеотводов.</w:t>
      </w:r>
    </w:p>
    <w:p w:rsidR="00C33EE6" w:rsidRDefault="00586869">
      <w:pPr>
        <w:ind w:firstLine="284"/>
        <w:jc w:val="both"/>
      </w:pPr>
      <w:r>
        <w:t xml:space="preserve">3.9. Распределительные устройству трансформаторные и преобразовательные подстанции без средств </w:t>
      </w:r>
      <w:proofErr w:type="spellStart"/>
      <w:r>
        <w:t>взрывозащиты</w:t>
      </w:r>
      <w:proofErr w:type="spellEnd"/>
      <w:r>
        <w:t>, для которых имеется опасность затекания паров нефтепродуктов, целесообразно располагать на возвышенных участках территории. Возможны другие меры, обеспечивающие взрывобезопасность объектов.</w:t>
      </w:r>
    </w:p>
    <w:p w:rsidR="00C33EE6" w:rsidRDefault="00586869">
      <w:pPr>
        <w:ind w:firstLine="284"/>
        <w:jc w:val="both"/>
      </w:pPr>
      <w:r>
        <w:t xml:space="preserve">3.10. Территорию предприятия нефтепродуктообеспечения необходимо обследовать на наличие </w:t>
      </w:r>
      <w:proofErr w:type="spellStart"/>
      <w:r>
        <w:t>нефтепродуктовых</w:t>
      </w:r>
      <w:proofErr w:type="spellEnd"/>
      <w:r>
        <w:t xml:space="preserve"> линз в грунте.</w:t>
      </w:r>
    </w:p>
    <w:p w:rsidR="00C33EE6" w:rsidRDefault="00586869">
      <w:pPr>
        <w:ind w:firstLine="284"/>
        <w:jc w:val="both"/>
      </w:pPr>
      <w:r>
        <w:t xml:space="preserve">Обнаруженные </w:t>
      </w:r>
      <w:proofErr w:type="spellStart"/>
      <w:r>
        <w:t>нефтепродуктовые</w:t>
      </w:r>
      <w:proofErr w:type="spellEnd"/>
      <w:r>
        <w:t xml:space="preserve"> линзы должны быть ликвидированы. В дальнейшем следует предусмотреть дополнительные меры защиты, обеспечивающие </w:t>
      </w:r>
      <w:proofErr w:type="gramStart"/>
      <w:r>
        <w:t>контроль за</w:t>
      </w:r>
      <w:proofErr w:type="gramEnd"/>
      <w:r>
        <w:t xml:space="preserve"> образованием линз и предотвращающие их проникновение на селитебную территорию.</w:t>
      </w:r>
    </w:p>
    <w:p w:rsidR="00C33EE6" w:rsidRDefault="00586869">
      <w:pPr>
        <w:ind w:firstLine="284"/>
        <w:jc w:val="both"/>
      </w:pPr>
      <w:r>
        <w:t>3.11. Территория внутри обвалования, а также поверхность самого обвалования должны иметь гидроизоляцию, обеспечивающую предотвращение проникновения нефтепродукта в грунт.</w:t>
      </w:r>
    </w:p>
    <w:p w:rsidR="00C33EE6" w:rsidRDefault="00586869">
      <w:pPr>
        <w:ind w:firstLine="284"/>
        <w:jc w:val="both"/>
      </w:pPr>
      <w:r>
        <w:t xml:space="preserve">3.12. Система контроля и управления технологическими процессами в резервуарных парках должна обеспечивать подачу аварийного звукового и/или светового сигнала при самопроизвольном снижении уровня нефтепродукта в резервуаре, а при превышении максимально допустимого уровня </w:t>
      </w:r>
      <w:proofErr w:type="spellStart"/>
      <w:r>
        <w:t>взлива</w:t>
      </w:r>
      <w:proofErr w:type="spellEnd"/>
      <w:r>
        <w:t xml:space="preserve">, кроме подачи сигналов, автоматическое отключение подающих насосов по команде сигнализаторов предельного уровня </w:t>
      </w:r>
      <w:proofErr w:type="spellStart"/>
      <w:r>
        <w:t>взлива</w:t>
      </w:r>
      <w:proofErr w:type="spellEnd"/>
      <w:r>
        <w:t>, установленных на резервуаре.</w:t>
      </w:r>
    </w:p>
    <w:p w:rsidR="00C33EE6" w:rsidRDefault="00586869">
      <w:pPr>
        <w:ind w:firstLine="284"/>
        <w:jc w:val="both"/>
      </w:pPr>
      <w:r>
        <w:t>3.13. Резервуары целесообразно оборудовать системами, предотвращающими возможность попадания нефтепродукта в дренированную подтоварную воду.</w:t>
      </w:r>
    </w:p>
    <w:p w:rsidR="00C33EE6" w:rsidRDefault="00586869">
      <w:pPr>
        <w:ind w:firstLine="284"/>
        <w:jc w:val="both"/>
      </w:pPr>
      <w:r>
        <w:t>3.14. Технологическая схема должна обеспечивать аварийное освобождение (аварийный слив) нефтепродукта из резервуара самотеком и/или посредством подключения передвижных средств перекачки.</w:t>
      </w:r>
    </w:p>
    <w:p w:rsidR="00C33EE6" w:rsidRDefault="00586869">
      <w:pPr>
        <w:ind w:firstLine="284"/>
        <w:jc w:val="both"/>
      </w:pPr>
      <w:r>
        <w:t>При обеспечении объекта энергоснабжением по первой категории надежности допускается осуществление аварийного слива технологическими насосами.</w:t>
      </w:r>
    </w:p>
    <w:p w:rsidR="00C33EE6" w:rsidRDefault="00586869">
      <w:pPr>
        <w:ind w:firstLine="284"/>
        <w:jc w:val="both"/>
      </w:pPr>
      <w:r>
        <w:t xml:space="preserve">3.15. Для аварийного приема нефтепродукта, как правило, должны использоваться специально предусмотренные для этих целей системы (неиспользуемые емкости резервуарного парка, отводы от линейной части магистральных </w:t>
      </w:r>
      <w:proofErr w:type="gramStart"/>
      <w:r>
        <w:t>нефтепродуктопроводов, ж</w:t>
      </w:r>
      <w:proofErr w:type="gramEnd"/>
      <w:r>
        <w:t>/д и автоцистерны), рассчитанные на вместимость наибольшего резервуара.</w:t>
      </w:r>
    </w:p>
    <w:p w:rsidR="00C33EE6" w:rsidRDefault="00586869">
      <w:pPr>
        <w:ind w:firstLine="284"/>
        <w:jc w:val="both"/>
      </w:pPr>
      <w:r>
        <w:t>3.16. Специальные системы аварийного приема нефтепродукта должны оснащаться средствами контроля и управления, предотвращающими перелив нефтепродуктов.</w:t>
      </w:r>
    </w:p>
    <w:p w:rsidR="00C33EE6" w:rsidRDefault="00586869">
      <w:pPr>
        <w:ind w:firstLine="284"/>
        <w:jc w:val="both"/>
      </w:pPr>
      <w:r>
        <w:lastRenderedPageBreak/>
        <w:t>3.17. Насосные для перекачки легковоспламеняющихся жидкостей с температурой вспышки менее 28</w:t>
      </w:r>
      <w:proofErr w:type="gramStart"/>
      <w:r>
        <w:t xml:space="preserve"> °С</w:t>
      </w:r>
      <w:proofErr w:type="gramEnd"/>
      <w:r>
        <w:t xml:space="preserve"> могут быть открытыми под навесом.</w:t>
      </w:r>
    </w:p>
    <w:p w:rsidR="00C33EE6" w:rsidRDefault="00586869">
      <w:pPr>
        <w:ind w:firstLine="284"/>
        <w:jc w:val="both"/>
      </w:pPr>
      <w:r>
        <w:t>3.18. В открытых насосных, расположенных под навесами</w:t>
      </w:r>
      <w:proofErr w:type="gramStart"/>
      <w:r>
        <w:t>.</w:t>
      </w:r>
      <w:proofErr w:type="gramEnd"/>
      <w:r>
        <w:t xml:space="preserve"> </w:t>
      </w:r>
      <w:proofErr w:type="gramStart"/>
      <w:r>
        <w:t>п</w:t>
      </w:r>
      <w:proofErr w:type="gramEnd"/>
      <w:r>
        <w:t>лощадь устраиваемых в них защитных боковых ограждении должна составлять не более 50 % общей площади закрываемой стороны (считая по высоте от пола до выступающей части покрытия насосной).</w:t>
      </w:r>
    </w:p>
    <w:p w:rsidR="00C33EE6" w:rsidRDefault="00586869">
      <w:pPr>
        <w:ind w:firstLine="284"/>
        <w:jc w:val="both"/>
      </w:pPr>
      <w:r>
        <w:t>Защитные боковые ограждения открытых насосных должны быть несгораемыми и по условиям естественной вентиляции не доходить до пола и покрытия насосной не менее чем на 0,3 м.</w:t>
      </w:r>
    </w:p>
    <w:p w:rsidR="00C33EE6" w:rsidRDefault="00586869">
      <w:pPr>
        <w:ind w:firstLine="284"/>
        <w:jc w:val="both"/>
      </w:pPr>
      <w:r>
        <w:t>3.19. Насосы, применяемые для перекачки нефтепродуктов, оснащаются:</w:t>
      </w:r>
    </w:p>
    <w:p w:rsidR="00C33EE6" w:rsidRDefault="00586869">
      <w:pPr>
        <w:ind w:firstLine="284"/>
        <w:jc w:val="both"/>
      </w:pPr>
      <w:proofErr w:type="gramStart"/>
      <w:r>
        <w:t xml:space="preserve">блокировками, исключающими пуск или прекращение работы насоса при отклонении уровня жидкости в резервуаре от предельно допустимых максимального и минимального уровней </w:t>
      </w:r>
      <w:proofErr w:type="spellStart"/>
      <w:r>
        <w:t>взлива</w:t>
      </w:r>
      <w:proofErr w:type="spellEnd"/>
      <w:r>
        <w:t xml:space="preserve"> нефтепродуктов;</w:t>
      </w:r>
      <w:proofErr w:type="gramEnd"/>
    </w:p>
    <w:p w:rsidR="00C33EE6" w:rsidRDefault="00586869">
      <w:pPr>
        <w:ind w:firstLine="284"/>
        <w:jc w:val="both"/>
      </w:pPr>
      <w:r>
        <w:t>системами сигнализации и блокировки, отключающими насосы в случае возникновения нерегламентированной утечки перекачиваемого нефтепродукта.</w:t>
      </w:r>
    </w:p>
    <w:p w:rsidR="00C33EE6" w:rsidRDefault="00586869">
      <w:pPr>
        <w:ind w:firstLine="284"/>
        <w:jc w:val="both"/>
      </w:pPr>
      <w:r>
        <w:t xml:space="preserve">3.20. Все всасывающие и напорные технологические трубопроводы должны иметь отсекающую арматуру, расположенную вне </w:t>
      </w:r>
      <w:proofErr w:type="gramStart"/>
      <w:r>
        <w:t>насосной</w:t>
      </w:r>
      <w:proofErr w:type="gramEnd"/>
      <w:r>
        <w:t>.</w:t>
      </w:r>
    </w:p>
    <w:p w:rsidR="00C33EE6" w:rsidRDefault="00586869">
      <w:pPr>
        <w:ind w:firstLine="284"/>
        <w:jc w:val="both"/>
      </w:pPr>
      <w:r>
        <w:t>На нагнетательном трубопроводе должна предусматриваться установка обратного клапана или другого устройства, предотвращающего перемещение нефтепродукта в противоположном направлении.</w:t>
      </w:r>
    </w:p>
    <w:p w:rsidR="00C33EE6" w:rsidRDefault="00586869">
      <w:pPr>
        <w:ind w:firstLine="284"/>
        <w:jc w:val="both"/>
      </w:pPr>
      <w:r>
        <w:t xml:space="preserve">3.21. Приемные колодцы, предназначенные для приема утечек или перелива нефтепродуктов, целесообразно оборудовать </w:t>
      </w:r>
      <w:r w:rsidR="00A8592F">
        <w:t>«</w:t>
      </w:r>
      <w:proofErr w:type="spellStart"/>
      <w:r>
        <w:t>самозатухающими</w:t>
      </w:r>
      <w:proofErr w:type="spellEnd"/>
      <w:r>
        <w:t xml:space="preserve"> устройствами</w:t>
      </w:r>
      <w:r w:rsidR="00A8592F">
        <w:t>»</w:t>
      </w:r>
      <w:r>
        <w:t>, способными ликвидировать возникшее горение нефтепродукта.</w:t>
      </w:r>
    </w:p>
    <w:p w:rsidR="00C33EE6" w:rsidRDefault="00586869">
      <w:pPr>
        <w:ind w:firstLine="284"/>
        <w:jc w:val="both"/>
      </w:pPr>
      <w:r>
        <w:t>3.22. Прокладка технологических трубопроводов на территории объекта должна быть наземной, исключать их провисание и обеспечиваться защитой от возможного механического повреждения.</w:t>
      </w:r>
    </w:p>
    <w:p w:rsidR="00C33EE6" w:rsidRDefault="00586869">
      <w:pPr>
        <w:ind w:firstLine="284"/>
        <w:jc w:val="both"/>
      </w:pPr>
      <w:r>
        <w:t>При необходимости прокладки технологических трубопроводов в лотках или траншеях должна быть предусмотрена их засыпка песком или грунтом, исключающая возможность образования свободного пространства между перекрытием лотков и поверхностью грунта.</w:t>
      </w:r>
    </w:p>
    <w:p w:rsidR="00C33EE6" w:rsidRDefault="00586869">
      <w:pPr>
        <w:ind w:firstLine="284"/>
        <w:jc w:val="both"/>
      </w:pPr>
      <w:r>
        <w:t>3.23. При прокладке технологических трубопроводов через строительные конструкции зданий и другие препятствия должны приниматься меры, исключающие возможность передачи дополнительных нагрузок на трубопроводы.</w:t>
      </w:r>
    </w:p>
    <w:p w:rsidR="00C33EE6" w:rsidRDefault="00586869">
      <w:pPr>
        <w:ind w:firstLine="284"/>
        <w:jc w:val="both"/>
      </w:pPr>
      <w:r>
        <w:t>3.24. Технологические трубопроводы, как правило, не должны иметь фланцевых или других разъемных соединений.</w:t>
      </w:r>
    </w:p>
    <w:p w:rsidR="00C33EE6" w:rsidRDefault="00586869">
      <w:pPr>
        <w:ind w:firstLine="284"/>
        <w:jc w:val="both"/>
      </w:pPr>
      <w:r>
        <w:t>Фланцевые соединения допускаются только в местах установки запорной арматуры. При этом они не должны размещаться в местах постоянного пребывания или прохода людей.</w:t>
      </w:r>
    </w:p>
    <w:p w:rsidR="00C33EE6" w:rsidRDefault="00586869">
      <w:pPr>
        <w:ind w:firstLine="284"/>
        <w:jc w:val="both"/>
      </w:pPr>
      <w:r>
        <w:t>3.25. Для предприятий нефтепродуктообеспечения, подключенных к отводам магистральных нефтепродуктопроводов, на технологических трубопроводах закачки бензина в резервуары с понтоном необходимо предусматривать устройства, обеспечивающие предотвращение проскока газовых пробок в резервуар.</w:t>
      </w:r>
    </w:p>
    <w:p w:rsidR="00C33EE6" w:rsidRDefault="00586869">
      <w:pPr>
        <w:ind w:firstLine="284"/>
        <w:jc w:val="both"/>
      </w:pPr>
      <w:r>
        <w:t xml:space="preserve">3.26. Предприятие нефтепродуктообеспечения должно быть снабжено специальными техническими средствами </w:t>
      </w:r>
      <w:proofErr w:type="gramStart"/>
      <w:r>
        <w:t>для</w:t>
      </w:r>
      <w:proofErr w:type="gramEnd"/>
      <w:r>
        <w:t>:</w:t>
      </w:r>
    </w:p>
    <w:p w:rsidR="00C33EE6" w:rsidRDefault="00586869">
      <w:pPr>
        <w:ind w:firstLine="284"/>
        <w:jc w:val="both"/>
      </w:pPr>
      <w:r>
        <w:t xml:space="preserve">ликвидации возможных утечек и свищей; </w:t>
      </w:r>
    </w:p>
    <w:p w:rsidR="00C33EE6" w:rsidRDefault="00586869">
      <w:pPr>
        <w:ind w:firstLine="284"/>
        <w:jc w:val="both"/>
      </w:pPr>
      <w:r>
        <w:t>снижения интенсивности испарения при аварийном разливе нефтепродукта;</w:t>
      </w:r>
    </w:p>
    <w:p w:rsidR="00C33EE6" w:rsidRDefault="00586869">
      <w:pPr>
        <w:ind w:firstLine="284"/>
        <w:jc w:val="both"/>
      </w:pPr>
      <w:r>
        <w:t xml:space="preserve">проведения аварийной откачки нефтепродукта. </w:t>
      </w:r>
    </w:p>
    <w:p w:rsidR="00C33EE6" w:rsidRDefault="00586869">
      <w:pPr>
        <w:ind w:firstLine="284"/>
        <w:jc w:val="both"/>
      </w:pPr>
      <w:r>
        <w:t>Выбор технических сре</w:t>
      </w:r>
      <w:proofErr w:type="gramStart"/>
      <w:r>
        <w:t>дств дл</w:t>
      </w:r>
      <w:proofErr w:type="gramEnd"/>
      <w:r>
        <w:t>я снижения интенсивности испарения производят, исходя из максимально возможной площади разлива нефтепродукта.</w:t>
      </w:r>
    </w:p>
    <w:p w:rsidR="00C33EE6" w:rsidRDefault="00586869">
      <w:pPr>
        <w:ind w:firstLine="284"/>
        <w:jc w:val="both"/>
      </w:pPr>
      <w:r>
        <w:t xml:space="preserve">3.27. Для постоянного </w:t>
      </w:r>
      <w:proofErr w:type="gramStart"/>
      <w:r>
        <w:t>контроля за</w:t>
      </w:r>
      <w:proofErr w:type="gramEnd"/>
      <w:r>
        <w:t xml:space="preserve"> состоянием взрывобезопасности среды во взрывопожароопасных помещениях и на открытых взрывопожароопасных территориях должны предусматриваться автоматические сигнализаторы </w:t>
      </w:r>
      <w:proofErr w:type="spellStart"/>
      <w:r>
        <w:t>довзрывоопасных</w:t>
      </w:r>
      <w:proofErr w:type="spellEnd"/>
      <w:r>
        <w:t xml:space="preserve"> концентраций с сигнализацией предельно допустимых величин.</w:t>
      </w:r>
    </w:p>
    <w:p w:rsidR="00C33EE6" w:rsidRDefault="00586869">
      <w:pPr>
        <w:ind w:firstLine="284"/>
        <w:jc w:val="both"/>
      </w:pPr>
      <w:r>
        <w:t>Система электропитания сигнализаторов должна дублироваться от независимого источника энергоснабжения.</w:t>
      </w:r>
    </w:p>
    <w:p w:rsidR="00C33EE6" w:rsidRDefault="00586869">
      <w:pPr>
        <w:ind w:firstLine="284"/>
        <w:jc w:val="both"/>
      </w:pPr>
      <w:r>
        <w:t xml:space="preserve">3.28. Места установки датчиков определяют согласно ТУ-газ-86 </w:t>
      </w:r>
      <w:r w:rsidR="00A8592F">
        <w:t>«</w:t>
      </w:r>
      <w:r>
        <w:t>Требования к установке сигнализаторов и газоанализаторов</w:t>
      </w:r>
      <w:r w:rsidR="00A8592F">
        <w:t>»</w:t>
      </w:r>
      <w:r>
        <w:t>.</w:t>
      </w:r>
    </w:p>
    <w:p w:rsidR="00C33EE6" w:rsidRDefault="00586869">
      <w:pPr>
        <w:ind w:firstLine="284"/>
        <w:jc w:val="both"/>
      </w:pPr>
      <w:r>
        <w:t xml:space="preserve">3.29. Система постоянного </w:t>
      </w:r>
      <w:proofErr w:type="gramStart"/>
      <w:r>
        <w:t>контроля за</w:t>
      </w:r>
      <w:proofErr w:type="gramEnd"/>
      <w:r>
        <w:t xml:space="preserve"> состоянием взрывобезопасности среды на территории автомобильной наливной эстакады при превышении концентраций паров нефтепродуктов в зоне налива более 20 % нижнего концентрационного предела распространения пламени должна обеспечивать: </w:t>
      </w:r>
    </w:p>
    <w:p w:rsidR="00C33EE6" w:rsidRDefault="00586869">
      <w:pPr>
        <w:ind w:firstLine="284"/>
        <w:jc w:val="both"/>
      </w:pPr>
      <w:r>
        <w:t xml:space="preserve">отключение энергообеспечения эстакады; </w:t>
      </w:r>
    </w:p>
    <w:p w:rsidR="00C33EE6" w:rsidRDefault="00586869">
      <w:pPr>
        <w:ind w:firstLine="284"/>
        <w:jc w:val="both"/>
      </w:pPr>
      <w:r>
        <w:t xml:space="preserve">блокирование движения автомобильного транспорта; </w:t>
      </w:r>
    </w:p>
    <w:p w:rsidR="00C33EE6" w:rsidRDefault="00586869">
      <w:pPr>
        <w:ind w:firstLine="284"/>
        <w:jc w:val="both"/>
      </w:pPr>
      <w:r>
        <w:lastRenderedPageBreak/>
        <w:t>информацию водителей о недопущении запуска двигателей автомобилей.</w:t>
      </w:r>
    </w:p>
    <w:p w:rsidR="00C33EE6" w:rsidRDefault="00586869">
      <w:pPr>
        <w:ind w:firstLine="284"/>
        <w:jc w:val="both"/>
      </w:pPr>
      <w:r>
        <w:t>3.30. Размещение пультов управления технологическими процессами и пожарной насосной или их конструкции должны исключать выведение их из строя при взрыве внешнего взрывоопасного паровоздушного облака или пожара.</w:t>
      </w:r>
    </w:p>
    <w:p w:rsidR="00C33EE6" w:rsidRDefault="00586869">
      <w:pPr>
        <w:ind w:firstLine="284"/>
        <w:jc w:val="both"/>
      </w:pPr>
      <w:r>
        <w:t>3.31. Для обеспечения безопасности населения от распространения облака взрывоопасных концентраций паров нефтепродуктов и/или тепловой энергии пожара могут устанавливаться стационарные паровые или водяные завесы со стороны близлежащих жилых кварталов.</w:t>
      </w:r>
    </w:p>
    <w:p w:rsidR="00C33EE6" w:rsidRDefault="00586869">
      <w:pPr>
        <w:ind w:firstLine="284"/>
        <w:jc w:val="both"/>
      </w:pPr>
      <w:r>
        <w:t>3.32. Для оповещения людей, которые могут находиться в зонах повышенного риска в случае возникновения и развития аварийной ситуации по наиболее опасному сценарию (прил. 2) целесообразно предусмотреть устройство громкоговорящей связи и специальные сигналы оповещения.</w:t>
      </w:r>
    </w:p>
    <w:p w:rsidR="00C33EE6" w:rsidRDefault="00586869">
      <w:pPr>
        <w:pStyle w:val="1"/>
      </w:pPr>
      <w:r>
        <w:t>4. ПРОТИВОПОЖАРНАЯ ЗАЩИТА</w:t>
      </w:r>
    </w:p>
    <w:p w:rsidR="00C33EE6" w:rsidRDefault="00586869">
      <w:pPr>
        <w:ind w:firstLine="284"/>
        <w:jc w:val="both"/>
      </w:pPr>
      <w:r>
        <w:t>4.1. Противопожарная защита - комплекс дополнительных технических и организационных мероприятий, обеспечивающих повышенную устойчивость объекта к развитию пожара в крупномасштабную аварию, связанную с выходом в селитебную зону.</w:t>
      </w:r>
    </w:p>
    <w:p w:rsidR="00C33EE6" w:rsidRDefault="00586869">
      <w:pPr>
        <w:ind w:firstLine="284"/>
        <w:jc w:val="both"/>
      </w:pPr>
      <w:r>
        <w:t>4.2. Повышенная устойчивость объекта к развитию пожара достигается за счет уменьшения пожарной опасности очага пожара и (или) повышения тактико-технических возможностей подразделений пожарной охраны предприятия нефтепродуктообеспечения, исходя из условия локализации, а затем и ликвидации пожара, развивающегося по наиболее неблагоприятному сценарию.</w:t>
      </w:r>
    </w:p>
    <w:p w:rsidR="00C33EE6" w:rsidRDefault="00586869">
      <w:pPr>
        <w:ind w:firstLine="284"/>
        <w:jc w:val="both"/>
      </w:pPr>
      <w:r>
        <w:t xml:space="preserve">4.3. Эффективность </w:t>
      </w:r>
      <w:proofErr w:type="gramStart"/>
      <w:r>
        <w:t>повышения тактико-технических возможностей подразделения пожарной охраны предприятия нефтепродуктообеспечения</w:t>
      </w:r>
      <w:proofErr w:type="gramEnd"/>
      <w:r>
        <w:t xml:space="preserve"> может быть достигнута за счет применения следующих современных средств и систем пожаротушения:</w:t>
      </w:r>
    </w:p>
    <w:p w:rsidR="00C33EE6" w:rsidRDefault="00586869">
      <w:pPr>
        <w:ind w:firstLine="284"/>
        <w:jc w:val="both"/>
      </w:pPr>
      <w:proofErr w:type="spellStart"/>
      <w:r>
        <w:t>подслойного</w:t>
      </w:r>
      <w:proofErr w:type="spellEnd"/>
      <w:r>
        <w:t xml:space="preserve"> тушения (СПТ) пожаров в резервуарах со стационарной крышей (прил. 6) и в пространстве между резервуаром и специально установленной защитной стеной, рассчитанной на удержание жидкости в случае полного разрушения резервуара:</w:t>
      </w:r>
    </w:p>
    <w:p w:rsidR="00C33EE6" w:rsidRDefault="00586869">
      <w:pPr>
        <w:ind w:firstLine="284"/>
        <w:jc w:val="both"/>
      </w:pPr>
      <w:r>
        <w:t>снижения опасности процесса испарения аварийно пролитых из резервуара нефтепродуктов;</w:t>
      </w:r>
    </w:p>
    <w:p w:rsidR="00C33EE6" w:rsidRDefault="00586869">
      <w:pPr>
        <w:ind w:firstLine="284"/>
        <w:jc w:val="both"/>
      </w:pPr>
      <w:r>
        <w:t>комбинированных гидромониторов для подачи воды и пены;</w:t>
      </w:r>
    </w:p>
    <w:p w:rsidR="00C33EE6" w:rsidRDefault="00586869">
      <w:pPr>
        <w:ind w:firstLine="284"/>
        <w:jc w:val="both"/>
      </w:pPr>
      <w:proofErr w:type="spellStart"/>
      <w:r>
        <w:t>эжекционных</w:t>
      </w:r>
      <w:proofErr w:type="spellEnd"/>
      <w:r>
        <w:t xml:space="preserve"> генераторов </w:t>
      </w:r>
      <w:proofErr w:type="spellStart"/>
      <w:r>
        <w:t>высокократной</w:t>
      </w:r>
      <w:proofErr w:type="spellEnd"/>
      <w:r>
        <w:t xml:space="preserve"> пены; </w:t>
      </w:r>
    </w:p>
    <w:p w:rsidR="00C33EE6" w:rsidRDefault="00586869">
      <w:pPr>
        <w:ind w:firstLine="284"/>
        <w:jc w:val="both"/>
      </w:pPr>
      <w:r>
        <w:t xml:space="preserve">пленкообразующих пенообразователей типа </w:t>
      </w:r>
      <w:r w:rsidR="00A8592F">
        <w:t>«</w:t>
      </w:r>
      <w:r>
        <w:t>Легкая вода</w:t>
      </w:r>
      <w:r w:rsidR="00A8592F">
        <w:t>»</w:t>
      </w:r>
      <w:r>
        <w:t xml:space="preserve">. </w:t>
      </w:r>
    </w:p>
    <w:p w:rsidR="00C33EE6" w:rsidRDefault="00586869">
      <w:pPr>
        <w:ind w:firstLine="284"/>
        <w:jc w:val="both"/>
      </w:pPr>
      <w:r>
        <w:t>Расчет преобразователя должен быть определен для наиболее неблагоприятного сценария развития пожара с учетом его трехкратного запаса.</w:t>
      </w:r>
    </w:p>
    <w:p w:rsidR="00C33EE6" w:rsidRDefault="00586869">
      <w:pPr>
        <w:ind w:firstLine="284"/>
        <w:jc w:val="both"/>
      </w:pPr>
      <w:r>
        <w:t>4.4. Тактико-технические возможности пожарной охраны объекта нефтепродуктообеспечения должны обеспечивать возможность тушения пожара в резервуаре наибольшей вместимости.</w:t>
      </w:r>
    </w:p>
    <w:p w:rsidR="00C33EE6" w:rsidRDefault="00586869">
      <w:pPr>
        <w:ind w:firstLine="284"/>
        <w:jc w:val="both"/>
      </w:pPr>
      <w:r>
        <w:t xml:space="preserve">4.5. </w:t>
      </w:r>
      <w:proofErr w:type="gramStart"/>
      <w:r>
        <w:t>Расчетную продолжительность боевых действий пожарных подразделений при тушении пожара в резервуарном парке следует принимать равной 6 ч.</w:t>
      </w:r>
      <w:proofErr w:type="gramEnd"/>
    </w:p>
    <w:p w:rsidR="00C33EE6" w:rsidRDefault="00586869">
      <w:pPr>
        <w:ind w:firstLine="284"/>
        <w:jc w:val="both"/>
      </w:pPr>
      <w:r>
        <w:t>Неиспользуемая емкость резервуарного парка может быть заполнена водой для целей пожаротушения.</w:t>
      </w:r>
    </w:p>
    <w:p w:rsidR="00C33EE6" w:rsidRDefault="00586869">
      <w:pPr>
        <w:ind w:firstLine="284"/>
        <w:jc w:val="both"/>
      </w:pPr>
      <w:r>
        <w:t>4.6. В качестве дополнительных мер, обеспечивающих защиту наземных резервуаров от тепловой энергии пожара, следует рассматривать:</w:t>
      </w:r>
    </w:p>
    <w:p w:rsidR="00C33EE6" w:rsidRDefault="00586869">
      <w:pPr>
        <w:ind w:firstLine="284"/>
        <w:jc w:val="both"/>
      </w:pPr>
      <w:r>
        <w:t>оборудование стационарными системами охлаждения резервуаров, конструкция которых не должна иметь жестких связей с корпусом резервуара и иметь дополнительные вводы с противоположных сторон обвалования для подачи воды от передвижной пожарной техники;</w:t>
      </w:r>
    </w:p>
    <w:p w:rsidR="00C33EE6" w:rsidRDefault="00586869">
      <w:pPr>
        <w:ind w:firstLine="284"/>
        <w:jc w:val="both"/>
      </w:pPr>
      <w:r>
        <w:t>устройство дополнительного внутреннего обвалования в группе между резервуарами;</w:t>
      </w:r>
    </w:p>
    <w:p w:rsidR="00C33EE6" w:rsidRDefault="00586869">
      <w:pPr>
        <w:ind w:firstLine="284"/>
        <w:jc w:val="both"/>
      </w:pPr>
      <w:r>
        <w:t>установку на дополнительном внутреннем обваловании роботизированных стволов или установку на внешнем обваловании комбинированных гидромониторов, обеспечивающих кроме подачи воды на охлаждение резервуаров подачу пены низкой кратности для снижения интенсивности испарения или тушения пожара.</w:t>
      </w:r>
    </w:p>
    <w:p w:rsidR="00C33EE6" w:rsidRDefault="00586869">
      <w:pPr>
        <w:ind w:firstLine="284"/>
        <w:jc w:val="both"/>
      </w:pPr>
      <w:r>
        <w:t xml:space="preserve">4.7. </w:t>
      </w:r>
      <w:proofErr w:type="gramStart"/>
      <w:r>
        <w:t>Зашита от разгерметизации фланцевых соединений коренных задвижек должна</w:t>
      </w:r>
      <w:proofErr w:type="gramEnd"/>
      <w:r>
        <w:t xml:space="preserve"> осуществляться за счет одного из следующих технических решений:</w:t>
      </w:r>
    </w:p>
    <w:p w:rsidR="00C33EE6" w:rsidRDefault="00586869">
      <w:pPr>
        <w:ind w:firstLine="284"/>
        <w:jc w:val="both"/>
      </w:pPr>
      <w:r>
        <w:t>применения огнестойкого покрытия, обеспечивающего предел огнестойкости до разгерметизации не менее 1 ч;</w:t>
      </w:r>
    </w:p>
    <w:p w:rsidR="00C33EE6" w:rsidRDefault="00586869">
      <w:pPr>
        <w:ind w:firstLine="284"/>
        <w:jc w:val="both"/>
      </w:pPr>
      <w:r>
        <w:t xml:space="preserve">устройства системы локального орошения коренных задвижек, основные параметры которой могут быть определены по </w:t>
      </w:r>
      <w:r w:rsidR="00A8592F">
        <w:t>«</w:t>
      </w:r>
      <w:r>
        <w:t>Рекомендациям ВНИИПО по расчету стационарных систем аварийного охлаждения колонных аппаратов, нагревающихся в условиях пожара</w:t>
      </w:r>
      <w:r w:rsidR="00A8592F">
        <w:t>»</w:t>
      </w:r>
      <w:r>
        <w:t>.</w:t>
      </w:r>
    </w:p>
    <w:p w:rsidR="00C33EE6" w:rsidRDefault="00586869">
      <w:pPr>
        <w:ind w:firstLine="284"/>
        <w:jc w:val="both"/>
      </w:pPr>
      <w:r>
        <w:t xml:space="preserve">Как временная мера защиты от разгерметизации фланцевых соединений до выполнения одного из вышеуказанных требований допускается установка над коренными задвижками </w:t>
      </w:r>
      <w:r>
        <w:lastRenderedPageBreak/>
        <w:t>резервуаров металлических козырьков или других устройств, обеспечивающих предотвращение фонтанирования при разгерметизации в условиях пожара.</w:t>
      </w:r>
    </w:p>
    <w:p w:rsidR="00C33EE6" w:rsidRDefault="00586869">
      <w:pPr>
        <w:ind w:firstLine="284"/>
        <w:jc w:val="both"/>
      </w:pPr>
      <w:r>
        <w:t xml:space="preserve">4.8. Противопожарную защиту насосной целесообразно осуществлять с использованием </w:t>
      </w:r>
      <w:proofErr w:type="spellStart"/>
      <w:r>
        <w:t>эжекционных</w:t>
      </w:r>
      <w:proofErr w:type="spellEnd"/>
      <w:r>
        <w:t xml:space="preserve"> пеногенераторов, </w:t>
      </w:r>
      <w:proofErr w:type="gramStart"/>
      <w:r>
        <w:t>обеспечивающих</w:t>
      </w:r>
      <w:proofErr w:type="gramEnd"/>
      <w:r>
        <w:t xml:space="preserve"> подачу пены кратностью 700-800 без принудительного наддува воздуха от </w:t>
      </w:r>
      <w:proofErr w:type="spellStart"/>
      <w:r>
        <w:t>электровентиляторов</w:t>
      </w:r>
      <w:proofErr w:type="spellEnd"/>
      <w:r>
        <w:t>.</w:t>
      </w:r>
    </w:p>
    <w:p w:rsidR="00C33EE6" w:rsidRDefault="00586869">
      <w:pPr>
        <w:ind w:firstLine="284"/>
        <w:jc w:val="both"/>
      </w:pPr>
      <w:r>
        <w:t>Огнетушащая эффективность пены высокой кратности сохраняется, несмотря на возникающие и процессе пожара или взрыва сквозные проемы.</w:t>
      </w:r>
    </w:p>
    <w:p w:rsidR="00C33EE6" w:rsidRDefault="00586869">
      <w:pPr>
        <w:ind w:firstLine="284"/>
        <w:jc w:val="both"/>
      </w:pPr>
      <w:r>
        <w:t xml:space="preserve">4.9. На сливоналивных железнодорожных и автомобильных эстакадах целесообразно предусматривать стационарную установку комбинированных гидромониторов со специальными насадками, которые обеспечивают образование компактных водяных и расширенных струй </w:t>
      </w:r>
      <w:proofErr w:type="spellStart"/>
      <w:r>
        <w:t>низкократной</w:t>
      </w:r>
      <w:proofErr w:type="spellEnd"/>
      <w:r>
        <w:t xml:space="preserve"> пены.</w:t>
      </w:r>
    </w:p>
    <w:p w:rsidR="00C33EE6" w:rsidRDefault="00586869">
      <w:pPr>
        <w:ind w:firstLine="284"/>
        <w:jc w:val="both"/>
      </w:pPr>
      <w:r>
        <w:t xml:space="preserve">Линия подачи водного раствора пенообразователя оборудуется </w:t>
      </w:r>
      <w:proofErr w:type="spellStart"/>
      <w:r>
        <w:t>пеносмесителем</w:t>
      </w:r>
      <w:proofErr w:type="spellEnd"/>
      <w:r>
        <w:t xml:space="preserve"> </w:t>
      </w:r>
      <w:proofErr w:type="spellStart"/>
      <w:r>
        <w:t>эжекционного</w:t>
      </w:r>
      <w:proofErr w:type="spellEnd"/>
      <w:r>
        <w:t xml:space="preserve"> типа для забора из передвижной емкости пенообразователя.</w:t>
      </w:r>
    </w:p>
    <w:p w:rsidR="00C33EE6" w:rsidRDefault="00586869">
      <w:pPr>
        <w:ind w:firstLine="284"/>
        <w:jc w:val="both"/>
      </w:pPr>
      <w:r>
        <w:t>При пожаре до подвода пенообразователя гидромониторы используют для подачи компактных струй воды на охлаждение.</w:t>
      </w:r>
    </w:p>
    <w:p w:rsidR="00C33EE6" w:rsidRDefault="00586869">
      <w:pPr>
        <w:ind w:firstLine="284"/>
        <w:jc w:val="both"/>
      </w:pPr>
      <w:r>
        <w:t xml:space="preserve">4.10. Для защиты сгораемых конструкций зданий и сооружений, расположенных на селитебной территории в зоне воздействия опасной тепловой энергии пожара, последние могут быть защищены </w:t>
      </w:r>
      <w:proofErr w:type="spellStart"/>
      <w:r>
        <w:t>дренчерными</w:t>
      </w:r>
      <w:proofErr w:type="spellEnd"/>
      <w:r>
        <w:t xml:space="preserve"> завесами с внешней стороны, т.е. со стороны воздействия тепла пожара. </w:t>
      </w:r>
    </w:p>
    <w:p w:rsidR="00C33EE6" w:rsidRDefault="00586869">
      <w:pPr>
        <w:pStyle w:val="1"/>
      </w:pPr>
      <w:r>
        <w:t>5. ОРГАНИЗАЦИОННЫЕ МЕРОПРИЯТИЯ</w:t>
      </w:r>
    </w:p>
    <w:p w:rsidR="00C33EE6" w:rsidRDefault="00586869">
      <w:pPr>
        <w:ind w:firstLine="284"/>
        <w:jc w:val="both"/>
      </w:pPr>
      <w:r>
        <w:t>5.1. В штатах предприятия нефтебаз и наливных пунктов целесообразно предусматривать должность инженера по пожарной безопасности со специальным образованием.</w:t>
      </w:r>
    </w:p>
    <w:p w:rsidR="00C33EE6" w:rsidRDefault="00586869">
      <w:pPr>
        <w:ind w:firstLine="284"/>
        <w:jc w:val="both"/>
      </w:pPr>
      <w:r>
        <w:t>5.2. Руководителем предприятия нефтепродуктообеспечения должен быть разработан план совместных действий, обеспечивающий взаимодействие сторон, участвующих в локализации и ликвидации крупномасштабной аварии, связанной с выходом в селитебную территорию.</w:t>
      </w:r>
    </w:p>
    <w:p w:rsidR="00C33EE6" w:rsidRDefault="00586869">
      <w:pPr>
        <w:ind w:firstLine="284"/>
        <w:jc w:val="both"/>
      </w:pPr>
      <w:r>
        <w:t>5.3. План совместных действий также должен содержать раздел о пожарной опасности предприятия нефтепродуктообеспечения для населения, способе оповещения людей и их действиях при поступлении специальных сигналов оповещения.</w:t>
      </w:r>
    </w:p>
    <w:p w:rsidR="00C33EE6" w:rsidRDefault="00586869">
      <w:pPr>
        <w:ind w:firstLine="284"/>
        <w:jc w:val="both"/>
      </w:pPr>
      <w:r>
        <w:t>Население, которое может находиться в зонах повышенного риска в случае возникновения и развития аварийной ситуации по наиболее опасному сценарию (прил. 2), должно быть проинформировано по лунному разделу плана.</w:t>
      </w:r>
    </w:p>
    <w:p w:rsidR="00C33EE6" w:rsidRDefault="00586869">
      <w:pPr>
        <w:ind w:firstLine="284"/>
        <w:jc w:val="both"/>
      </w:pPr>
      <w:r>
        <w:t>5.4. План совместных действий должен ежегодно отрабатываться в рамках учений руководителей, участвующих в локализации и ликвидации крупномасштабной аварии, а раз в пять лет практически</w:t>
      </w:r>
      <w:r>
        <w:rPr>
          <w:smallCaps/>
        </w:rPr>
        <w:t xml:space="preserve"> </w:t>
      </w:r>
      <w:r>
        <w:t>отрабатываться с привлечением предусмотренных сил и средств, а также с подачей специальных сигналов оповещения.</w:t>
      </w:r>
    </w:p>
    <w:p w:rsidR="00C33EE6" w:rsidRDefault="00586869">
      <w:pPr>
        <w:ind w:firstLine="284"/>
        <w:jc w:val="both"/>
      </w:pPr>
      <w:r>
        <w:t xml:space="preserve">5.5. Следует предусматривать ежегодную переподготовку руководящего персонала на основе </w:t>
      </w:r>
      <w:proofErr w:type="gramStart"/>
      <w:r>
        <w:t>опыта обеспечения пожарной безопасности объектов нефтепродуктообеспечения расположенных</w:t>
      </w:r>
      <w:proofErr w:type="gramEnd"/>
      <w:r>
        <w:t xml:space="preserve"> на селитебных территориях.</w:t>
      </w:r>
    </w:p>
    <w:p w:rsidR="00A8592F" w:rsidRDefault="00A8592F">
      <w:pPr>
        <w:overflowPunct/>
        <w:autoSpaceDE/>
        <w:autoSpaceDN/>
        <w:adjustRightInd/>
        <w:textAlignment w:val="auto"/>
        <w:rPr>
          <w:i/>
          <w:spacing w:val="40"/>
          <w:kern w:val="28"/>
        </w:rPr>
      </w:pPr>
      <w:r>
        <w:rPr>
          <w:b/>
          <w:i/>
          <w:spacing w:val="40"/>
        </w:rPr>
        <w:br w:type="page"/>
      </w:r>
    </w:p>
    <w:p w:rsidR="00C33EE6" w:rsidRDefault="00586869">
      <w:pPr>
        <w:pStyle w:val="1"/>
        <w:jc w:val="right"/>
        <w:rPr>
          <w:b w:val="0"/>
          <w:i/>
          <w:spacing w:val="40"/>
        </w:rPr>
      </w:pPr>
      <w:r>
        <w:rPr>
          <w:b w:val="0"/>
          <w:i/>
          <w:spacing w:val="40"/>
        </w:rPr>
        <w:lastRenderedPageBreak/>
        <w:t>Приложение 1</w:t>
      </w:r>
    </w:p>
    <w:p w:rsidR="00C33EE6" w:rsidRDefault="00586869">
      <w:pPr>
        <w:pStyle w:val="1"/>
        <w:spacing w:before="0"/>
      </w:pPr>
      <w:r>
        <w:t>Сценарии возникновения и развития аварии с переходом в пожар при хранении нефтепродуктов на селитебной территории</w:t>
      </w:r>
    </w:p>
    <w:p w:rsidR="00C33EE6" w:rsidRDefault="00586869">
      <w:pPr>
        <w:ind w:firstLine="284"/>
        <w:jc w:val="both"/>
      </w:pPr>
      <w:r>
        <w:t xml:space="preserve">Разработку сценария возникновения и развития аварии с переходом в пожар проводят для конкретного случая расположения предприятия нефтепродуктообеспечения на селитебной территории с помощью </w:t>
      </w:r>
      <w:r w:rsidR="00A8592F">
        <w:t>«</w:t>
      </w:r>
      <w:r>
        <w:t>Комплексной модели возникновения и развития аварии с переходом в пожар при хранении нефтепродуктов на селитебной территории</w:t>
      </w:r>
      <w:r w:rsidR="00A8592F">
        <w:t>»</w:t>
      </w:r>
      <w:r>
        <w:t xml:space="preserve"> (рис. 1).</w:t>
      </w:r>
    </w:p>
    <w:p w:rsidR="00C33EE6" w:rsidRDefault="00586869">
      <w:pPr>
        <w:ind w:firstLine="284"/>
        <w:jc w:val="both"/>
      </w:pPr>
      <w:r>
        <w:t>В основу разработки данной модели легли сведения о более чем 300 пожарах, происшедших как у нас в стране, так и за рубежом, а также научные труды в области исследования возникновения и развития аварий и пожаров в резервуарных парках.</w:t>
      </w:r>
    </w:p>
    <w:p w:rsidR="00C33EE6" w:rsidRDefault="00586869">
      <w:pPr>
        <w:ind w:firstLine="284"/>
        <w:jc w:val="both"/>
      </w:pPr>
      <w:r>
        <w:t xml:space="preserve">Данная модель предусматривает </w:t>
      </w:r>
      <w:proofErr w:type="spellStart"/>
      <w:r>
        <w:t>постадийное</w:t>
      </w:r>
      <w:proofErr w:type="spellEnd"/>
      <w:r>
        <w:t xml:space="preserve"> развитие пожара на трех уровнях в зависимости от его масштабов и тяжести последствий. </w:t>
      </w:r>
    </w:p>
    <w:p w:rsidR="00C33EE6" w:rsidRDefault="00586869">
      <w:pPr>
        <w:ind w:firstLine="284"/>
        <w:jc w:val="both"/>
      </w:pPr>
      <w:r>
        <w:t>Уровни развития следующие:</w:t>
      </w:r>
    </w:p>
    <w:p w:rsidR="00C33EE6" w:rsidRDefault="00586869">
      <w:pPr>
        <w:ind w:firstLine="284"/>
        <w:jc w:val="both"/>
      </w:pPr>
      <w:r>
        <w:t xml:space="preserve">- первый уровень </w:t>
      </w:r>
      <w:r w:rsidR="00A8592F">
        <w:t>«</w:t>
      </w:r>
      <w:r>
        <w:t>А</w:t>
      </w:r>
      <w:r w:rsidR="00A8592F">
        <w:t>»</w:t>
      </w:r>
      <w:r>
        <w:t xml:space="preserve"> характеризуется возникновением и развитием аварийной ситуации с переходом в пожар на одном резервуаре или пожар разлива нефтепродукта в пределах обвалования, в котором расположен один или несколько резервуаров, без влияния на смежные группы резервуаров;</w:t>
      </w:r>
    </w:p>
    <w:p w:rsidR="00C33EE6" w:rsidRDefault="00586869">
      <w:pPr>
        <w:ind w:firstLine="284"/>
        <w:jc w:val="both"/>
      </w:pPr>
      <w:r>
        <w:t xml:space="preserve">- второй уровень </w:t>
      </w:r>
      <w:r w:rsidR="00A8592F">
        <w:t>«</w:t>
      </w:r>
      <w:r>
        <w:t>Б</w:t>
      </w:r>
      <w:r w:rsidR="00A8592F">
        <w:t>»</w:t>
      </w:r>
      <w:r>
        <w:t xml:space="preserve"> характеризуется развитием пожара с выходом за пределы обвалования и возможным продолжением его в пределах резервуарного парка;</w:t>
      </w:r>
    </w:p>
    <w:p w:rsidR="00C33EE6" w:rsidRDefault="00586869">
      <w:pPr>
        <w:ind w:firstLine="284"/>
        <w:jc w:val="both"/>
      </w:pPr>
      <w:r>
        <w:t xml:space="preserve">- третий уровень </w:t>
      </w:r>
      <w:r w:rsidR="00A8592F">
        <w:t>«</w:t>
      </w:r>
      <w:r>
        <w:t>В</w:t>
      </w:r>
      <w:r w:rsidR="00A8592F">
        <w:t>»</w:t>
      </w:r>
      <w:r>
        <w:t xml:space="preserve"> характеризуется развитием пожара с возможным переходом на смежные технологические объекты, здания и сооружения на территории предприятия нефтепродуктообеспечения предприятия и за его пределами, а также поражением опасными факторами пожара персонала предприятия и населения близлежащих районов.</w:t>
      </w:r>
    </w:p>
    <w:p w:rsidR="00C33EE6" w:rsidRDefault="00586869">
      <w:pPr>
        <w:ind w:firstLine="284"/>
        <w:jc w:val="both"/>
      </w:pPr>
      <w:r>
        <w:t>При составлении описаний возможных вариантов возникновения и развития аварийной ситуации с переходом в пожар каждому показателю пожарной опасности (событию) присваивают идентификатор (см. рис. 1). Буква идентификатора обозначает уровень пожара, а цифровая идентификация - возможную последовательность смены одних событий другими.</w:t>
      </w:r>
    </w:p>
    <w:p w:rsidR="00C33EE6" w:rsidRDefault="00586869">
      <w:pPr>
        <w:ind w:firstLine="284"/>
        <w:jc w:val="both"/>
      </w:pPr>
      <w:r>
        <w:t>Каждый сценарий пожара может иметь несколько стадий развития при сочетании определенных условий, может быть приостановлен, перейти в следующую стадию развития (событие пожара) или на более высокий уровень.</w:t>
      </w:r>
    </w:p>
    <w:p w:rsidR="00C33EE6" w:rsidRDefault="00DC42AE">
      <w:pPr>
        <w:spacing w:before="120" w:after="120"/>
        <w:jc w:val="center"/>
      </w:pPr>
      <w:r>
        <w:rPr>
          <w:noProof/>
        </w:rPr>
        <w:drawing>
          <wp:inline distT="0" distB="0" distL="0" distR="0" wp14:anchorId="6D3BE3CD" wp14:editId="2D9F1F6B">
            <wp:extent cx="3467100" cy="35433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467100" cy="3543300"/>
                    </a:xfrm>
                    <a:prstGeom prst="rect">
                      <a:avLst/>
                    </a:prstGeom>
                    <a:noFill/>
                    <a:ln>
                      <a:noFill/>
                    </a:ln>
                  </pic:spPr>
                </pic:pic>
              </a:graphicData>
            </a:graphic>
          </wp:inline>
        </w:drawing>
      </w:r>
    </w:p>
    <w:p w:rsidR="00C33EE6" w:rsidRDefault="00586869">
      <w:pPr>
        <w:jc w:val="center"/>
        <w:rPr>
          <w:i/>
        </w:rPr>
      </w:pPr>
      <w:r>
        <w:rPr>
          <w:i/>
        </w:rPr>
        <w:t xml:space="preserve">Рис. 1. Комплексная модель возникновения и развития аварии с переходом в пожар при хранении нефтепродуктов на селитебной территории </w:t>
      </w:r>
    </w:p>
    <w:p w:rsidR="00C33EE6" w:rsidRDefault="00DC42AE">
      <w:pPr>
        <w:spacing w:before="120" w:after="120"/>
        <w:jc w:val="center"/>
      </w:pPr>
      <w:r>
        <w:rPr>
          <w:noProof/>
        </w:rPr>
        <w:lastRenderedPageBreak/>
        <w:drawing>
          <wp:inline distT="0" distB="0" distL="0" distR="0" wp14:anchorId="4C850D95" wp14:editId="2766F26F">
            <wp:extent cx="3933825" cy="3657600"/>
            <wp:effectExtent l="0" t="0" r="952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933825" cy="3657600"/>
                    </a:xfrm>
                    <a:prstGeom prst="rect">
                      <a:avLst/>
                    </a:prstGeom>
                    <a:noFill/>
                    <a:ln>
                      <a:noFill/>
                    </a:ln>
                  </pic:spPr>
                </pic:pic>
              </a:graphicData>
            </a:graphic>
          </wp:inline>
        </w:drawing>
      </w:r>
    </w:p>
    <w:p w:rsidR="00C33EE6" w:rsidRDefault="00586869">
      <w:pPr>
        <w:jc w:val="center"/>
        <w:rPr>
          <w:i/>
        </w:rPr>
      </w:pPr>
      <w:r>
        <w:rPr>
          <w:i/>
        </w:rPr>
        <w:t>Продолжение рис. 1</w:t>
      </w:r>
    </w:p>
    <w:p w:rsidR="00C33EE6" w:rsidRDefault="00DC42AE">
      <w:pPr>
        <w:spacing w:before="120" w:after="120"/>
        <w:jc w:val="center"/>
      </w:pPr>
      <w:r>
        <w:rPr>
          <w:noProof/>
        </w:rPr>
        <w:drawing>
          <wp:inline distT="0" distB="0" distL="0" distR="0" wp14:anchorId="336F55FB" wp14:editId="514246DD">
            <wp:extent cx="3667125" cy="3609975"/>
            <wp:effectExtent l="0" t="0" r="9525" b="952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667125" cy="3609975"/>
                    </a:xfrm>
                    <a:prstGeom prst="rect">
                      <a:avLst/>
                    </a:prstGeom>
                    <a:noFill/>
                    <a:ln>
                      <a:noFill/>
                    </a:ln>
                  </pic:spPr>
                </pic:pic>
              </a:graphicData>
            </a:graphic>
          </wp:inline>
        </w:drawing>
      </w:r>
    </w:p>
    <w:p w:rsidR="00C33EE6" w:rsidRDefault="00586869">
      <w:pPr>
        <w:jc w:val="center"/>
        <w:rPr>
          <w:i/>
        </w:rPr>
      </w:pPr>
      <w:r>
        <w:rPr>
          <w:i/>
        </w:rPr>
        <w:t>Продолжение рис. 1</w:t>
      </w:r>
    </w:p>
    <w:p w:rsidR="00C33EE6" w:rsidRDefault="00DC42AE">
      <w:pPr>
        <w:spacing w:before="120" w:after="120"/>
        <w:jc w:val="center"/>
      </w:pPr>
      <w:r>
        <w:rPr>
          <w:noProof/>
        </w:rPr>
        <w:lastRenderedPageBreak/>
        <w:drawing>
          <wp:inline distT="0" distB="0" distL="0" distR="0" wp14:anchorId="76A56D77" wp14:editId="43655E9F">
            <wp:extent cx="3771900" cy="363855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771900" cy="3638550"/>
                    </a:xfrm>
                    <a:prstGeom prst="rect">
                      <a:avLst/>
                    </a:prstGeom>
                    <a:noFill/>
                    <a:ln>
                      <a:noFill/>
                    </a:ln>
                  </pic:spPr>
                </pic:pic>
              </a:graphicData>
            </a:graphic>
          </wp:inline>
        </w:drawing>
      </w:r>
    </w:p>
    <w:p w:rsidR="00C33EE6" w:rsidRDefault="00586869">
      <w:pPr>
        <w:jc w:val="center"/>
        <w:rPr>
          <w:i/>
        </w:rPr>
      </w:pPr>
      <w:r>
        <w:rPr>
          <w:i/>
        </w:rPr>
        <w:t>Окончание рис. 1</w:t>
      </w:r>
    </w:p>
    <w:p w:rsidR="00C33EE6" w:rsidRDefault="00586869">
      <w:pPr>
        <w:spacing w:before="120" w:after="120"/>
        <w:ind w:firstLine="284"/>
        <w:jc w:val="both"/>
        <w:rPr>
          <w:b/>
          <w:u w:val="single"/>
        </w:rPr>
      </w:pPr>
      <w:r>
        <w:rPr>
          <w:b/>
          <w:u w:val="single"/>
        </w:rPr>
        <w:t>Сценарий № 1</w:t>
      </w:r>
    </w:p>
    <w:p w:rsidR="00C33EE6" w:rsidRDefault="00586869">
      <w:pPr>
        <w:ind w:firstLine="284"/>
        <w:jc w:val="both"/>
      </w:pPr>
      <w:r>
        <w:t xml:space="preserve">При образовании взрывоопасной концентрации снаружи резервуара вследствие </w:t>
      </w:r>
      <w:r w:rsidR="00A8592F">
        <w:t>«</w:t>
      </w:r>
      <w:r>
        <w:t>больших и малых дыханий</w:t>
      </w:r>
      <w:r w:rsidR="00A8592F">
        <w:t>»</w:t>
      </w:r>
      <w:r>
        <w:t xml:space="preserve"> (событие А.7.1) и появлении источника зажигания возникает пожар на дыхательных клапанах или и местах </w:t>
      </w:r>
      <w:proofErr w:type="spellStart"/>
      <w:r>
        <w:t>негерметичности</w:t>
      </w:r>
      <w:proofErr w:type="spellEnd"/>
      <w:r>
        <w:t xml:space="preserve"> сочленения пенных камер с корпусом резервуара (событие А.7.1). При этом в зависимости от величины концентрации паровоздушной среды внутри резервуара возможно:</w:t>
      </w:r>
    </w:p>
    <w:p w:rsidR="00C33EE6" w:rsidRDefault="00586869">
      <w:pPr>
        <w:ind w:firstLine="284"/>
        <w:jc w:val="both"/>
      </w:pPr>
      <w:r>
        <w:t>сценарий 1.1 - устойчивое факельное горение (событие А.7.1);</w:t>
      </w:r>
    </w:p>
    <w:p w:rsidR="00C33EE6" w:rsidRDefault="00586869">
      <w:pPr>
        <w:ind w:firstLine="284"/>
        <w:jc w:val="both"/>
      </w:pPr>
      <w:r>
        <w:t>сценарий 1.2 - взрыв паровоздушной среды в резервуаре (событие А.7.2).</w:t>
      </w:r>
    </w:p>
    <w:p w:rsidR="00C33EE6" w:rsidRDefault="00586869">
      <w:pPr>
        <w:ind w:firstLine="284"/>
        <w:jc w:val="both"/>
      </w:pPr>
      <w:r>
        <w:t>Переход пожара из устойчивого факельного горения (событие А.7.1) в горение на поверхности жидкости (событие А.8.1) характерно для резервуаров со сферической крышей (сценарий 1.1.1).</w:t>
      </w:r>
    </w:p>
    <w:p w:rsidR="00C33EE6" w:rsidRDefault="00586869">
      <w:pPr>
        <w:ind w:firstLine="284"/>
        <w:jc w:val="both"/>
      </w:pPr>
      <w:r>
        <w:t>Взрыв резервуара (событие А.7.2), как правило, приводит к подрыву, реже - к срыву крыши с последующим пожаром резервуара (сценарий 1.2.1).</w:t>
      </w:r>
    </w:p>
    <w:p w:rsidR="00C33EE6" w:rsidRDefault="00586869">
      <w:pPr>
        <w:ind w:firstLine="284"/>
        <w:jc w:val="both"/>
      </w:pPr>
      <w:r>
        <w:t>Не исключена опасность, что взрыв паровоздушной смеси в резервуаре (событие А.7.2) или затяжной пожар резервуара (событие А.8.1) может привести к разрушению резервуара (событие А.8.2) с последующим образованием гидродинамической волны (событие А.9.2).</w:t>
      </w:r>
    </w:p>
    <w:p w:rsidR="00C33EE6" w:rsidRDefault="00586869">
      <w:pPr>
        <w:ind w:firstLine="284"/>
        <w:jc w:val="both"/>
      </w:pPr>
      <w:r>
        <w:t>Гидродинамическая волна способна разрушить соседние резервуары (событие Б. 1.1), что увеличит площадь разлива горящего продукта (событие Б.2.1).</w:t>
      </w:r>
    </w:p>
    <w:p w:rsidR="00C33EE6" w:rsidRDefault="00586869">
      <w:pPr>
        <w:ind w:firstLine="284"/>
        <w:jc w:val="both"/>
      </w:pPr>
      <w:r>
        <w:t>Длительное горение определенных продуктов в резервуаре (событие А.8.1), как правило, приводит к вскипанию или выбросу (событие А.9.1) с последующим разливом продукта (событие Б.2.1) и горением жилкой фазы (событие Б.5.1) на большой площади (сценарий 1.2.1.1).</w:t>
      </w:r>
    </w:p>
    <w:p w:rsidR="00C33EE6" w:rsidRDefault="00586869">
      <w:pPr>
        <w:ind w:firstLine="284"/>
        <w:jc w:val="both"/>
      </w:pPr>
      <w:proofErr w:type="gramStart"/>
      <w:r>
        <w:t>Событие А.8.1 или событие Б.5.1 может перейти на одно из следующих событий Б.6.1, Б.6.2, Б.6.3 или Б.6.4, что в свою очередь вовлекает в пожар смежные резервуары и другие объекты склада и крупный групповой неуправляемый пожар (сценарий 1.2.1.1.1), который может перекинуться на городскую застройку (событие В.1).</w:t>
      </w:r>
      <w:proofErr w:type="gramEnd"/>
    </w:p>
    <w:p w:rsidR="00C33EE6" w:rsidRDefault="00586869">
      <w:pPr>
        <w:ind w:firstLine="284"/>
        <w:jc w:val="both"/>
      </w:pPr>
      <w:r>
        <w:t>Как видно, безобидное факельное горение на дыхательном клапане может привести к катастрофе.</w:t>
      </w:r>
    </w:p>
    <w:p w:rsidR="00C33EE6" w:rsidRDefault="00586869">
      <w:pPr>
        <w:spacing w:before="120" w:after="120"/>
        <w:ind w:firstLine="284"/>
        <w:jc w:val="both"/>
        <w:rPr>
          <w:b/>
          <w:u w:val="single"/>
        </w:rPr>
      </w:pPr>
      <w:r>
        <w:rPr>
          <w:b/>
          <w:u w:val="single"/>
        </w:rPr>
        <w:t>Сценарий № 2</w:t>
      </w:r>
    </w:p>
    <w:p w:rsidR="00C33EE6" w:rsidRDefault="00586869">
      <w:pPr>
        <w:ind w:firstLine="284"/>
        <w:jc w:val="both"/>
      </w:pPr>
      <w:r>
        <w:t xml:space="preserve">Развитие пожара, которое начинается с события А.1.2 (образование взрывоопасных концентраций в резервуаре), как правило, приводит к наиболее часто встречающемуся на </w:t>
      </w:r>
      <w:r>
        <w:lastRenderedPageBreak/>
        <w:t xml:space="preserve">практике сценарию </w:t>
      </w:r>
      <w:r w:rsidR="00A8592F">
        <w:t>«</w:t>
      </w:r>
      <w:r>
        <w:t>пожар резервуара</w:t>
      </w:r>
      <w:r w:rsidR="00A8592F">
        <w:t>»</w:t>
      </w:r>
      <w:r>
        <w:t xml:space="preserve"> (сценарий 2.1) или к разрушению резервуара при взрыве (событие А.8.2) - сценарий 2.2.</w:t>
      </w:r>
    </w:p>
    <w:p w:rsidR="00C33EE6" w:rsidRDefault="00586869">
      <w:pPr>
        <w:ind w:firstLine="284"/>
        <w:jc w:val="both"/>
      </w:pPr>
      <w:r>
        <w:t>Характер дальнейшего развития пожара может быть аналогичен сценарию 1.2, начиная с событий А.8.2 или А.9.1.</w:t>
      </w:r>
    </w:p>
    <w:p w:rsidR="00C33EE6" w:rsidRDefault="00586869">
      <w:pPr>
        <w:spacing w:before="120" w:after="120"/>
        <w:ind w:firstLine="284"/>
        <w:jc w:val="both"/>
        <w:rPr>
          <w:b/>
          <w:u w:val="single"/>
        </w:rPr>
      </w:pPr>
      <w:r>
        <w:rPr>
          <w:b/>
          <w:u w:val="single"/>
        </w:rPr>
        <w:t>Сценарий № 3</w:t>
      </w:r>
    </w:p>
    <w:p w:rsidR="00C33EE6" w:rsidRDefault="00586869">
      <w:pPr>
        <w:ind w:firstLine="284"/>
        <w:jc w:val="both"/>
      </w:pPr>
      <w:r>
        <w:t>В результате нарушения технологического режима или неисправности контрольно-измерительных приборов возможен неконтролируемый выход продукта из резервуара (событие А.1.3). Происходит разлив продукта (событие А.3.1).</w:t>
      </w:r>
    </w:p>
    <w:p w:rsidR="00C33EE6" w:rsidRDefault="00586869">
      <w:pPr>
        <w:ind w:firstLine="284"/>
        <w:jc w:val="both"/>
      </w:pPr>
      <w:r>
        <w:t>В зависимости от температуры вспышки продукта и количества, выходящего при неконтролируемом разливе, структуры почвы можно ожидать следующие сценарии развития пожара:</w:t>
      </w:r>
    </w:p>
    <w:p w:rsidR="00C33EE6" w:rsidRDefault="00586869">
      <w:pPr>
        <w:ind w:firstLine="284"/>
        <w:jc w:val="both"/>
      </w:pPr>
      <w:r>
        <w:t>загазованность территории (событие А.4.1) и взрыв парогазовой фазы (событие А.5.1) - сценарий 3,1; пожар разлива продукта (событие А.5.2.) - сценарий 3.2; пожары в черте городской застройки вследствие попадания нефтепродукта в систему городской канализации (событие В.1) - сценарий 3.3.</w:t>
      </w:r>
    </w:p>
    <w:p w:rsidR="00C33EE6" w:rsidRDefault="00586869">
      <w:pPr>
        <w:ind w:firstLine="284"/>
        <w:jc w:val="both"/>
      </w:pPr>
      <w:r>
        <w:t xml:space="preserve">При взрыве парогазовой фазы пожар может сразу перейти на уровень </w:t>
      </w:r>
      <w:r w:rsidR="00A8592F">
        <w:t>«</w:t>
      </w:r>
      <w:r>
        <w:t>Б</w:t>
      </w:r>
      <w:r w:rsidR="00A8592F">
        <w:t>»</w:t>
      </w:r>
      <w:r>
        <w:t>. При этом в зависимости от массы участвующих во взрыве паров, то есть от непосредственного воздействия тепловой и ударной энергии взрыва можно ожидать:</w:t>
      </w:r>
    </w:p>
    <w:p w:rsidR="00C33EE6" w:rsidRDefault="00586869">
      <w:pPr>
        <w:ind w:firstLine="284"/>
        <w:jc w:val="both"/>
      </w:pPr>
      <w:r>
        <w:t>пожары соседних зданий и сооружений (событие Б.6.1) -</w:t>
      </w:r>
      <w:r>
        <w:rPr>
          <w:lang w:val="en-US"/>
        </w:rPr>
        <w:t xml:space="preserve"> </w:t>
      </w:r>
      <w:r>
        <w:t>сценарий 3.1.1;</w:t>
      </w:r>
    </w:p>
    <w:p w:rsidR="00C33EE6" w:rsidRDefault="00586869">
      <w:pPr>
        <w:ind w:firstLine="284"/>
        <w:jc w:val="both"/>
      </w:pPr>
      <w:r>
        <w:t>пожары на дыхательных клапанах резервуаров (событие Б.6.2) - сценарии 3.1.2;</w:t>
      </w:r>
    </w:p>
    <w:p w:rsidR="00C33EE6" w:rsidRDefault="00586869">
      <w:pPr>
        <w:ind w:firstLine="284"/>
        <w:jc w:val="both"/>
      </w:pPr>
      <w:r>
        <w:t>взрывы в соседних резервуарах (событие Б.6.3) - сценарий 3.1.3;</w:t>
      </w:r>
    </w:p>
    <w:p w:rsidR="00C33EE6" w:rsidRDefault="00586869">
      <w:pPr>
        <w:ind w:firstLine="284"/>
        <w:jc w:val="both"/>
      </w:pPr>
      <w:r>
        <w:t>разрушение соседних резервуаров (событие</w:t>
      </w:r>
      <w:proofErr w:type="gramStart"/>
      <w:r>
        <w:t xml:space="preserve"> Б</w:t>
      </w:r>
      <w:proofErr w:type="gramEnd"/>
      <w:r>
        <w:t>,7.2 - сценарий 3.1.4) и зданий и сооружений (событие Б.7.3 - сценарий 3.1.5).</w:t>
      </w:r>
    </w:p>
    <w:p w:rsidR="00C33EE6" w:rsidRDefault="00586869">
      <w:pPr>
        <w:ind w:firstLine="284"/>
        <w:jc w:val="both"/>
      </w:pPr>
      <w:r>
        <w:t>Пожар жидкой фазы (сценарии 3.2) при разливе приводит к быстрому нагреву оборудования и конструкции резервуара, ограничивающих паровую фазу, до и выше температуры самовоспламенения паров углеводородов.</w:t>
      </w:r>
    </w:p>
    <w:p w:rsidR="00C33EE6" w:rsidRDefault="00586869">
      <w:pPr>
        <w:ind w:firstLine="284"/>
        <w:jc w:val="both"/>
      </w:pPr>
      <w:r>
        <w:t>В анализируемом резервуаре возможны следующие сценарии развития пожара:</w:t>
      </w:r>
    </w:p>
    <w:p w:rsidR="00C33EE6" w:rsidRDefault="00586869">
      <w:pPr>
        <w:ind w:firstLine="284"/>
        <w:jc w:val="both"/>
      </w:pPr>
      <w:r>
        <w:t>Пожар на дыхательных клапанах (событие А.7.1) - сценарий 3.2.1;</w:t>
      </w:r>
    </w:p>
    <w:p w:rsidR="00C33EE6" w:rsidRDefault="00586869">
      <w:pPr>
        <w:ind w:firstLine="284"/>
        <w:jc w:val="both"/>
      </w:pPr>
      <w:r>
        <w:t>взрыв паровоздушной фазы в резервуаре (событие А.7.2) - сценарий 3.2.2.</w:t>
      </w:r>
    </w:p>
    <w:p w:rsidR="00C33EE6" w:rsidRDefault="00586869">
      <w:pPr>
        <w:ind w:firstLine="284"/>
        <w:jc w:val="both"/>
      </w:pPr>
      <w:r>
        <w:t xml:space="preserve">Перегрев поверхностного слоя нефтепродукта в </w:t>
      </w:r>
      <w:proofErr w:type="spellStart"/>
      <w:r>
        <w:t>негорящих</w:t>
      </w:r>
      <w:proofErr w:type="spellEnd"/>
      <w:r>
        <w:t xml:space="preserve"> резервуарах приводит к интенсивному росту давления паровой фазы и их последующему механическому разрушению (событие А.8.2) - сценарий 3.2.3.</w:t>
      </w:r>
    </w:p>
    <w:p w:rsidR="00C33EE6" w:rsidRDefault="00586869">
      <w:pPr>
        <w:ind w:firstLine="284"/>
        <w:jc w:val="both"/>
      </w:pPr>
      <w:r>
        <w:t>Дальнейшее развитие пожара возможно по сценарию 1.2.1.1.</w:t>
      </w:r>
    </w:p>
    <w:p w:rsidR="00C33EE6" w:rsidRDefault="00586869">
      <w:pPr>
        <w:spacing w:before="120" w:after="120"/>
        <w:ind w:firstLine="284"/>
        <w:jc w:val="both"/>
        <w:rPr>
          <w:b/>
          <w:u w:val="single"/>
        </w:rPr>
      </w:pPr>
      <w:r>
        <w:rPr>
          <w:b/>
          <w:u w:val="single"/>
        </w:rPr>
        <w:t>Сценарий № 4</w:t>
      </w:r>
    </w:p>
    <w:p w:rsidR="00C33EE6" w:rsidRDefault="00586869">
      <w:pPr>
        <w:ind w:firstLine="284"/>
        <w:jc w:val="both"/>
      </w:pPr>
      <w:r>
        <w:t>Статистические данные 50 случаев полного разрушения резервуаров при хранении различных видов продуктов (событие А.1.4.) заставляют с особым вниманием рассматривать этот самый катастрофический вариант развития пожара.</w:t>
      </w:r>
    </w:p>
    <w:p w:rsidR="00C33EE6" w:rsidRDefault="00586869">
      <w:pPr>
        <w:ind w:firstLine="284"/>
        <w:jc w:val="both"/>
      </w:pPr>
      <w:r>
        <w:t>Развитие пожара (сценарий 4.1) при локальной разгерметизации (событие А.2.1) может пойти по сценарию 3.3, начиная с события А.3.1.</w:t>
      </w:r>
    </w:p>
    <w:p w:rsidR="00C33EE6" w:rsidRDefault="00586869">
      <w:pPr>
        <w:ind w:firstLine="284"/>
        <w:jc w:val="both"/>
      </w:pPr>
      <w:r>
        <w:t xml:space="preserve">При полной разгерметизации резервуара (событие А.2.2) в зависимости от уровня </w:t>
      </w:r>
      <w:proofErr w:type="spellStart"/>
      <w:r>
        <w:t>взлива</w:t>
      </w:r>
      <w:proofErr w:type="spellEnd"/>
      <w:r>
        <w:t xml:space="preserve"> и структуры почвы возможны следующие варианты развития пожара: </w:t>
      </w:r>
    </w:p>
    <w:p w:rsidR="00C33EE6" w:rsidRDefault="00586869">
      <w:pPr>
        <w:ind w:firstLine="284"/>
        <w:jc w:val="both"/>
      </w:pPr>
      <w:r>
        <w:t>разлив продукта в пределах обвалования - сценарий 4.1;</w:t>
      </w:r>
    </w:p>
    <w:p w:rsidR="00C33EE6" w:rsidRDefault="00586869">
      <w:pPr>
        <w:ind w:firstLine="284"/>
        <w:jc w:val="both"/>
      </w:pPr>
      <w:r>
        <w:t xml:space="preserve">образование </w:t>
      </w:r>
      <w:proofErr w:type="gramStart"/>
      <w:r>
        <w:t>гидродинамической</w:t>
      </w:r>
      <w:proofErr w:type="gramEnd"/>
      <w:r>
        <w:t xml:space="preserve"> полны (событие А.9.2 - сценарий 4.2) с последующим развитием событий:</w:t>
      </w:r>
    </w:p>
    <w:p w:rsidR="00C33EE6" w:rsidRDefault="00586869">
      <w:pPr>
        <w:ind w:firstLine="284"/>
        <w:jc w:val="both"/>
      </w:pPr>
      <w:r>
        <w:t>по варианту сценария 4.2.1 - разрушение соседних резервуаров (событие Б.1.2) или розлив продукта на большой площади (событие Б.2.2), загазованность территории с возможным выходом за пределы склада (событие Б.3.1)</w:t>
      </w:r>
      <w:proofErr w:type="gramStart"/>
      <w:r>
        <w:t>.</w:t>
      </w:r>
      <w:proofErr w:type="gramEnd"/>
      <w:r>
        <w:t xml:space="preserve"> </w:t>
      </w:r>
      <w:proofErr w:type="gramStart"/>
      <w:r>
        <w:t>в</w:t>
      </w:r>
      <w:proofErr w:type="gramEnd"/>
      <w:r>
        <w:t>зрыв парогазовой фазы (событие Б.4.1). Далее по сценарию 3, начиная с события Б.5.1, Б.7.2 или Б.7.3;</w:t>
      </w:r>
    </w:p>
    <w:p w:rsidR="00C33EE6" w:rsidRDefault="00586869">
      <w:pPr>
        <w:ind w:firstLine="284"/>
        <w:jc w:val="both"/>
      </w:pPr>
      <w:r>
        <w:t>по сценарию 4.2.2 - непосредственный выход гидродинамической волны за пределы склада (событие В.1).</w:t>
      </w:r>
    </w:p>
    <w:p w:rsidR="00A8592F" w:rsidRDefault="00A8592F">
      <w:pPr>
        <w:overflowPunct/>
        <w:autoSpaceDE/>
        <w:autoSpaceDN/>
        <w:adjustRightInd/>
        <w:textAlignment w:val="auto"/>
        <w:rPr>
          <w:i/>
          <w:kern w:val="28"/>
        </w:rPr>
      </w:pPr>
      <w:r>
        <w:rPr>
          <w:b/>
          <w:i/>
        </w:rPr>
        <w:br w:type="page"/>
      </w:r>
    </w:p>
    <w:p w:rsidR="00C33EE6" w:rsidRDefault="00586869">
      <w:pPr>
        <w:pStyle w:val="1"/>
        <w:jc w:val="right"/>
        <w:rPr>
          <w:b w:val="0"/>
          <w:i/>
        </w:rPr>
      </w:pPr>
      <w:r>
        <w:rPr>
          <w:b w:val="0"/>
          <w:i/>
        </w:rPr>
        <w:lastRenderedPageBreak/>
        <w:t>Приложение 2</w:t>
      </w:r>
    </w:p>
    <w:p w:rsidR="00C33EE6" w:rsidRDefault="00586869">
      <w:pPr>
        <w:pStyle w:val="1"/>
        <w:spacing w:before="0"/>
      </w:pPr>
      <w:r>
        <w:t>Методики определения показателей пожарной опасности для населения и территории при наиболее опасных сценариях</w:t>
      </w:r>
    </w:p>
    <w:p w:rsidR="00C33EE6" w:rsidRDefault="00586869">
      <w:pPr>
        <w:ind w:firstLine="284"/>
        <w:jc w:val="both"/>
      </w:pPr>
      <w:r>
        <w:t>Определение показателей пожарной опасности предприятия нефтепродуктообеспечения для населения и территории основано на гипотетическом варианте реализации аварийной ситуации с переходом в пожар, развивающийся по наиболее неблагоприятному варианту на предприятии нефтепродуктообеспечения.</w:t>
      </w:r>
    </w:p>
    <w:p w:rsidR="00C33EE6" w:rsidRDefault="00586869">
      <w:pPr>
        <w:ind w:firstLine="284"/>
        <w:jc w:val="both"/>
      </w:pPr>
      <w:r>
        <w:t>В качестве наиболее неблагоприятного варианта рассматривается случай хрупкого (полного) разрушения резервуара, связанного с образованием гидродинамической волны нефтепродукта, которая либо промывает обвалование, либо перехлестывает через него и разливается на большой площади.</w:t>
      </w:r>
    </w:p>
    <w:p w:rsidR="00C33EE6" w:rsidRDefault="00586869">
      <w:pPr>
        <w:ind w:firstLine="284"/>
        <w:jc w:val="both"/>
      </w:pPr>
      <w:r>
        <w:t>Прорабатывают следующие варианты пожарной опасности для населения и территории, связанные с полным разрушением резервуара наибольшей вместимости или резервуара меньшей вместимости, но наиболее близко расположенного к жилым массивам.</w:t>
      </w:r>
    </w:p>
    <w:p w:rsidR="00C33EE6" w:rsidRDefault="00586869">
      <w:pPr>
        <w:spacing w:before="120" w:after="120"/>
        <w:ind w:firstLine="284"/>
        <w:jc w:val="both"/>
        <w:rPr>
          <w:b/>
          <w:u w:val="single"/>
        </w:rPr>
      </w:pPr>
      <w:r>
        <w:rPr>
          <w:b/>
          <w:u w:val="single"/>
        </w:rPr>
        <w:t>Сценарий 4.2.2.1</w:t>
      </w:r>
    </w:p>
    <w:p w:rsidR="00C33EE6" w:rsidRDefault="00586869">
      <w:pPr>
        <w:ind w:firstLine="284"/>
        <w:jc w:val="both"/>
      </w:pPr>
      <w:r>
        <w:t xml:space="preserve">Полное разрушение резервуара с нефтепродуктом типа </w:t>
      </w:r>
      <w:r w:rsidR="00A8592F">
        <w:t>«</w:t>
      </w:r>
      <w:r>
        <w:t>бензин</w:t>
      </w:r>
      <w:r w:rsidR="00A8592F">
        <w:t>»</w:t>
      </w:r>
      <w:r>
        <w:t xml:space="preserve"> и непосредственный выход гидродинамической волны прорыва в селитебную зону.</w:t>
      </w:r>
    </w:p>
    <w:p w:rsidR="00C33EE6" w:rsidRDefault="00586869">
      <w:pPr>
        <w:ind w:firstLine="284"/>
        <w:jc w:val="both"/>
      </w:pPr>
      <w:r>
        <w:t>Для данного сценария определяют следующие показатели пожарной опасности:</w:t>
      </w:r>
    </w:p>
    <w:p w:rsidR="00C33EE6" w:rsidRDefault="00586869">
      <w:pPr>
        <w:ind w:firstLine="284"/>
        <w:jc w:val="both"/>
      </w:pPr>
      <w:r>
        <w:t>зону аварийного разлива нефтепродукта, т. е. последующую зону пожара (методика 1);</w:t>
      </w:r>
    </w:p>
    <w:p w:rsidR="00C33EE6" w:rsidRDefault="00586869">
      <w:pPr>
        <w:ind w:firstLine="284"/>
        <w:jc w:val="both"/>
      </w:pPr>
      <w:r>
        <w:t>зону взрывоопасных концентраций при испарении бензина с поверхности разлива (зону мгновенного поражения людей от пожара-вспышки) (методика 2);</w:t>
      </w:r>
    </w:p>
    <w:p w:rsidR="00C33EE6" w:rsidRDefault="00586869">
      <w:pPr>
        <w:ind w:firstLine="284"/>
        <w:jc w:val="both"/>
      </w:pPr>
      <w:r>
        <w:t>зоны избыточного давления при взрыве паров бензина (методика 3);</w:t>
      </w:r>
    </w:p>
    <w:p w:rsidR="00C33EE6" w:rsidRDefault="00586869">
      <w:pPr>
        <w:ind w:firstLine="284"/>
        <w:jc w:val="both"/>
      </w:pPr>
      <w:proofErr w:type="gramStart"/>
      <w:r>
        <w:t>зоны опасных (силовых нагрузок при трении нефтепродукта на площади разлива (методика 4).</w:t>
      </w:r>
      <w:proofErr w:type="gramEnd"/>
    </w:p>
    <w:p w:rsidR="00C33EE6" w:rsidRDefault="00586869">
      <w:pPr>
        <w:spacing w:before="120" w:after="120"/>
        <w:ind w:firstLine="284"/>
        <w:jc w:val="both"/>
        <w:rPr>
          <w:b/>
          <w:u w:val="single"/>
        </w:rPr>
      </w:pPr>
      <w:r>
        <w:rPr>
          <w:b/>
          <w:u w:val="single"/>
        </w:rPr>
        <w:t>Сценарий 4.2.2.2</w:t>
      </w:r>
    </w:p>
    <w:p w:rsidR="00C33EE6" w:rsidRDefault="00586869">
      <w:pPr>
        <w:ind w:firstLine="284"/>
        <w:jc w:val="both"/>
      </w:pPr>
      <w:r>
        <w:t xml:space="preserve">Полное разрушение резервуара с нефтепродуктом типа </w:t>
      </w:r>
      <w:r w:rsidR="00A8592F">
        <w:t>«</w:t>
      </w:r>
      <w:r>
        <w:t>дизельное топливо, керосин и т.п.</w:t>
      </w:r>
      <w:r w:rsidR="00A8592F">
        <w:t>»</w:t>
      </w:r>
      <w:r>
        <w:t xml:space="preserve"> и непосредственный выход гидродинамической волны прорыва в селитебную зону.</w:t>
      </w:r>
    </w:p>
    <w:p w:rsidR="00C33EE6" w:rsidRDefault="00586869">
      <w:pPr>
        <w:ind w:firstLine="284"/>
        <w:jc w:val="both"/>
      </w:pPr>
      <w:r>
        <w:t>Для данного варианта определяют следующие показатели пожарной опасности:</w:t>
      </w:r>
    </w:p>
    <w:p w:rsidR="00C33EE6" w:rsidRDefault="00586869">
      <w:pPr>
        <w:ind w:firstLine="284"/>
        <w:jc w:val="both"/>
      </w:pPr>
      <w:r>
        <w:t>зону аварийного разлива нефтепродукта, т. е. последующую зону пожара (методика № 1);</w:t>
      </w:r>
    </w:p>
    <w:p w:rsidR="00C33EE6" w:rsidRDefault="00586869">
      <w:pPr>
        <w:ind w:firstLine="284"/>
        <w:jc w:val="both"/>
      </w:pPr>
      <w:r>
        <w:t>зоны опасных тепловых нагрузок при горении нефтепродукта на площади разлива (методика 4).</w:t>
      </w:r>
    </w:p>
    <w:p w:rsidR="00C33EE6" w:rsidRDefault="00586869">
      <w:pPr>
        <w:spacing w:before="120" w:after="120"/>
        <w:ind w:firstLine="284"/>
        <w:jc w:val="both"/>
        <w:rPr>
          <w:b/>
          <w:u w:val="single"/>
        </w:rPr>
      </w:pPr>
      <w:r>
        <w:rPr>
          <w:b/>
          <w:u w:val="single"/>
        </w:rPr>
        <w:t>Сценарий 4.2.2.3</w:t>
      </w:r>
    </w:p>
    <w:p w:rsidR="00C33EE6" w:rsidRDefault="00586869">
      <w:pPr>
        <w:ind w:firstLine="284"/>
        <w:jc w:val="both"/>
      </w:pPr>
      <w:r>
        <w:t>Полное разрушение горящего резервуара с нефтепродуктом и непосредственный выход горящей гидродинамической волны прорыва в селитебную зону.</w:t>
      </w:r>
    </w:p>
    <w:p w:rsidR="00C33EE6" w:rsidRDefault="00586869">
      <w:pPr>
        <w:ind w:firstLine="284"/>
        <w:jc w:val="both"/>
      </w:pPr>
      <w:r>
        <w:t>Для данного варианта определяют показатель пожарной опасности - зоны опасных тепловых нагрузок при горении нефтепродукта (методика 4).</w:t>
      </w:r>
    </w:p>
    <w:p w:rsidR="00C33EE6" w:rsidRDefault="00586869">
      <w:pPr>
        <w:spacing w:before="120" w:after="120"/>
        <w:ind w:firstLine="284"/>
        <w:jc w:val="both"/>
        <w:rPr>
          <w:b/>
          <w:u w:val="single"/>
        </w:rPr>
      </w:pPr>
      <w:r>
        <w:rPr>
          <w:b/>
          <w:u w:val="single"/>
        </w:rPr>
        <w:t>Сценарий № 5</w:t>
      </w:r>
    </w:p>
    <w:p w:rsidR="00C33EE6" w:rsidRDefault="00586869">
      <w:pPr>
        <w:ind w:firstLine="284"/>
        <w:jc w:val="both"/>
      </w:pPr>
      <w:r>
        <w:t>Горение нефтепродукта на всей площади сливо-наливной железнодорожной или автомобильной эстакады.</w:t>
      </w:r>
    </w:p>
    <w:p w:rsidR="00C33EE6" w:rsidRDefault="00586869">
      <w:pPr>
        <w:ind w:firstLine="284"/>
        <w:jc w:val="both"/>
      </w:pPr>
      <w:r>
        <w:t>Для данного варианта определяют показатель пожарной опасности - зоны опасных тепловых нагрузок при горении нефтепродукта (методика № 4).</w:t>
      </w:r>
    </w:p>
    <w:p w:rsidR="00C33EE6" w:rsidRDefault="00586869">
      <w:pPr>
        <w:ind w:firstLine="284"/>
        <w:jc w:val="both"/>
      </w:pPr>
      <w:r>
        <w:t xml:space="preserve">Результаты </w:t>
      </w:r>
      <w:proofErr w:type="gramStart"/>
      <w:r>
        <w:t>определения показателей пожарной опасности предприятия нефтепродуктообеспечения</w:t>
      </w:r>
      <w:proofErr w:type="gramEnd"/>
      <w:r>
        <w:t xml:space="preserve"> для населения и территории наносят на ситуационный план с целью выбора рациональных решений защиты.</w:t>
      </w:r>
    </w:p>
    <w:p w:rsidR="00C33EE6" w:rsidRDefault="00586869">
      <w:pPr>
        <w:spacing w:before="120" w:after="120"/>
        <w:jc w:val="center"/>
        <w:rPr>
          <w:b/>
        </w:rPr>
      </w:pPr>
      <w:r>
        <w:rPr>
          <w:b/>
        </w:rPr>
        <w:t>1. Карта нарушений противопожарной защиты</w:t>
      </w:r>
    </w:p>
    <w:p w:rsidR="00C33EE6" w:rsidRDefault="00586869">
      <w:pPr>
        <w:ind w:firstLine="284"/>
        <w:jc w:val="both"/>
      </w:pPr>
      <w:r>
        <w:t>Определение опасных факторов пожара</w:t>
      </w:r>
      <w:r>
        <w:rPr>
          <w:lang w:val="en-US"/>
        </w:rPr>
        <w:t xml:space="preserve"> </w:t>
      </w:r>
      <w:r>
        <w:t>и</w:t>
      </w:r>
      <w:r>
        <w:rPr>
          <w:lang w:val="en-US"/>
        </w:rPr>
        <w:t xml:space="preserve"> </w:t>
      </w:r>
      <w:r>
        <w:t xml:space="preserve">взрыва начинается с составления перечня </w:t>
      </w:r>
      <w:proofErr w:type="gramStart"/>
      <w:r>
        <w:t>отступлении</w:t>
      </w:r>
      <w:proofErr w:type="gramEnd"/>
      <w:r>
        <w:t xml:space="preserve"> от действующих норм в части обеспечения противопожарной защиты по следующему плану: </w:t>
      </w:r>
    </w:p>
    <w:p w:rsidR="00C33EE6" w:rsidRDefault="00586869" w:rsidP="00A8592F">
      <w:pPr>
        <w:ind w:right="-16" w:firstLine="284"/>
        <w:jc w:val="both"/>
      </w:pPr>
      <w:r>
        <w:t>характеристика объекта _________________________________</w:t>
      </w:r>
      <w:r w:rsidR="00A8592F">
        <w:t>__________________________</w:t>
      </w:r>
    </w:p>
    <w:p w:rsidR="00C33EE6" w:rsidRDefault="00586869" w:rsidP="00A8592F">
      <w:pPr>
        <w:ind w:right="-16"/>
        <w:jc w:val="both"/>
      </w:pPr>
      <w:r>
        <w:t>______________________________________________________________________________________________________________________________________________________________________</w:t>
      </w:r>
    </w:p>
    <w:p w:rsidR="00C33EE6" w:rsidRDefault="00586869" w:rsidP="00A8592F">
      <w:pPr>
        <w:ind w:right="-16" w:firstLine="284"/>
        <w:jc w:val="both"/>
      </w:pPr>
      <w:r>
        <w:t>техническое состояние резервуарной емкости _____________</w:t>
      </w:r>
      <w:r w:rsidR="00A8592F">
        <w:t>___________________________</w:t>
      </w:r>
    </w:p>
    <w:p w:rsidR="00C33EE6" w:rsidRDefault="00586869" w:rsidP="00A8592F">
      <w:pPr>
        <w:ind w:right="-16"/>
        <w:jc w:val="both"/>
      </w:pPr>
      <w:r>
        <w:t>______________________________________________________________________________________________________________________________________________________________________</w:t>
      </w:r>
    </w:p>
    <w:p w:rsidR="00A8592F" w:rsidRDefault="00A8592F" w:rsidP="00A8592F">
      <w:pPr>
        <w:ind w:right="-16"/>
        <w:jc w:val="both"/>
      </w:pPr>
    </w:p>
    <w:p w:rsidR="00A8592F" w:rsidRDefault="00586869" w:rsidP="00A8592F">
      <w:pPr>
        <w:ind w:right="-16" w:firstLine="284"/>
        <w:jc w:val="both"/>
      </w:pPr>
      <w:r>
        <w:t>отступления в части обеспечения противопожарной защиты</w:t>
      </w:r>
      <w:r w:rsidR="00A8592F">
        <w:t xml:space="preserve"> ____________________________</w:t>
      </w:r>
    </w:p>
    <w:p w:rsidR="00C33EE6" w:rsidRDefault="00586869" w:rsidP="00A8592F">
      <w:pPr>
        <w:ind w:right="-16"/>
        <w:jc w:val="both"/>
      </w:pPr>
      <w:r>
        <w:t>______________________________________________________________________________________________________________________________________________________________________</w:t>
      </w:r>
    </w:p>
    <w:p w:rsidR="00C33EE6" w:rsidRDefault="00586869" w:rsidP="00A8592F">
      <w:pPr>
        <w:ind w:right="-16" w:firstLine="284"/>
        <w:jc w:val="both"/>
      </w:pPr>
      <w:r>
        <w:t>тактико-технические возможности гарнизона пожарной охраны по тушению пожара на объекте хранения нефтепродуктов _________</w:t>
      </w:r>
      <w:r w:rsidR="00A8592F">
        <w:t>____________________________________________</w:t>
      </w:r>
    </w:p>
    <w:p w:rsidR="00C33EE6" w:rsidRDefault="00586869" w:rsidP="00A8592F">
      <w:pPr>
        <w:ind w:right="-16"/>
        <w:jc w:val="both"/>
      </w:pPr>
      <w:r>
        <w:t>______________________________________________________________________________________________________________________________________________________________________</w:t>
      </w:r>
    </w:p>
    <w:p w:rsidR="00A8592F" w:rsidRDefault="00A8592F">
      <w:pPr>
        <w:ind w:firstLine="284"/>
        <w:jc w:val="both"/>
      </w:pPr>
    </w:p>
    <w:p w:rsidR="00C33EE6" w:rsidRDefault="00586869">
      <w:pPr>
        <w:ind w:firstLine="284"/>
        <w:jc w:val="both"/>
      </w:pPr>
      <w:r>
        <w:t xml:space="preserve">Перечень </w:t>
      </w:r>
      <w:proofErr w:type="gramStart"/>
      <w:r>
        <w:t>отступлении</w:t>
      </w:r>
      <w:proofErr w:type="gramEnd"/>
      <w:r>
        <w:t xml:space="preserve"> от действующих норм (несоблюдение противопожарных разрывов до зданий и сооружений, расположенных в окрестностях предприятия нефтепродуктообеспечения, и другие) представляется на ситуационном плане и является основой для оценки пожарной опасности предприятия нефтепродуктообеспечения для населения и территории.</w:t>
      </w:r>
    </w:p>
    <w:p w:rsidR="00C33EE6" w:rsidRDefault="00586869">
      <w:pPr>
        <w:ind w:firstLine="284"/>
        <w:jc w:val="both"/>
      </w:pPr>
      <w:r>
        <w:t xml:space="preserve">На </w:t>
      </w:r>
      <w:r w:rsidR="00A8592F">
        <w:t>«</w:t>
      </w:r>
      <w:r>
        <w:t>карте нарушений...</w:t>
      </w:r>
      <w:r w:rsidR="00A8592F">
        <w:t>»</w:t>
      </w:r>
      <w:r>
        <w:t xml:space="preserve"> приводится характеристика зданий и сооружений (функциональное назначение, этажность, степень огнестойкости, категория по взрывопожарной и пожарной опасности здания производственного или складского назначения и т.п.) с указанием максимально возможного числа людей, одновременно находящихся на данных объектах.</w:t>
      </w:r>
    </w:p>
    <w:p w:rsidR="00C33EE6" w:rsidRDefault="00586869">
      <w:pPr>
        <w:spacing w:before="120" w:after="120"/>
        <w:ind w:firstLine="284"/>
        <w:jc w:val="both"/>
        <w:rPr>
          <w:b/>
        </w:rPr>
      </w:pPr>
      <w:r>
        <w:rPr>
          <w:b/>
          <w:u w:val="single"/>
        </w:rPr>
        <w:t>Методика № 1.</w:t>
      </w:r>
      <w:r>
        <w:t xml:space="preserve"> </w:t>
      </w:r>
      <w:r>
        <w:rPr>
          <w:b/>
        </w:rPr>
        <w:t>Определение зоны аварийного разлива нефтепродукта</w:t>
      </w:r>
    </w:p>
    <w:p w:rsidR="00C33EE6" w:rsidRDefault="00586869">
      <w:pPr>
        <w:ind w:firstLine="284"/>
        <w:jc w:val="both"/>
      </w:pPr>
      <w:r>
        <w:t>Настоящая методика предусматривает два варианта определения зоны разлива:</w:t>
      </w:r>
    </w:p>
    <w:p w:rsidR="00C33EE6" w:rsidRDefault="00586869">
      <w:pPr>
        <w:ind w:firstLine="284"/>
        <w:jc w:val="both"/>
      </w:pPr>
      <w:r>
        <w:t>в пределах обвалования, вследствие нарушения технологии наполнения резервуара нефтепродуктом или локального повреждения резервуара;</w:t>
      </w:r>
    </w:p>
    <w:p w:rsidR="00C33EE6" w:rsidRDefault="00586869">
      <w:pPr>
        <w:ind w:firstLine="284"/>
        <w:jc w:val="both"/>
      </w:pPr>
      <w:r>
        <w:t>на случай крупномасштабной аварии, связанной с полным разрушением наземного вертикального стального резервуара.</w:t>
      </w:r>
    </w:p>
    <w:p w:rsidR="00C33EE6" w:rsidRDefault="00586869">
      <w:pPr>
        <w:ind w:firstLine="284"/>
        <w:jc w:val="both"/>
      </w:pPr>
      <w:r>
        <w:t>В табл. 1.1 приведены зоны аварийного разлива на случай крупномасштабной аварии.</w:t>
      </w:r>
    </w:p>
    <w:p w:rsidR="00C33EE6" w:rsidRDefault="00586869">
      <w:pPr>
        <w:ind w:firstLine="284"/>
        <w:jc w:val="both"/>
      </w:pPr>
      <w:r>
        <w:t>При расположении резервуара в низине или на ровной поверхности зону разлива рассматривают в виде круга. Радиус зоны разлива характеризует максимальное расстояние разлива от центра резервуара. При расположении резервуара на возвышенности зону разлива рассматривают в виде эллипса. Форму эллипса характеризует большая и малая оси. Большую ось отсчитывают от центра резервуара.</w:t>
      </w:r>
    </w:p>
    <w:p w:rsidR="00C33EE6" w:rsidRDefault="00586869">
      <w:pPr>
        <w:ind w:firstLine="284"/>
        <w:jc w:val="both"/>
      </w:pPr>
      <w:r>
        <w:t>По результатам определения составляется карта прогнозируемых зон разлива, которая представляет собой ситуационный план с нанесением расчетных зон разлива.</w:t>
      </w:r>
    </w:p>
    <w:p w:rsidR="00C33EE6" w:rsidRDefault="00586869">
      <w:pPr>
        <w:ind w:firstLine="284"/>
        <w:jc w:val="both"/>
      </w:pPr>
      <w:r>
        <w:t>В текстовой части указывается возможное поражение людей и территории в случае мгновенного воспламенения зоны разлива.</w:t>
      </w:r>
    </w:p>
    <w:p w:rsidR="00C33EE6" w:rsidRDefault="00586869">
      <w:pPr>
        <w:ind w:firstLine="284"/>
        <w:jc w:val="both"/>
      </w:pPr>
      <w:r>
        <w:t>При отсутствии номенклатуры резервуаров в табл. 1.1 зоны аварийного разлива нефтепродукта в случае полного разрушения наземного вертикального стального резервуара определяют по следующим формулам.</w:t>
      </w:r>
    </w:p>
    <w:p w:rsidR="00C33EE6" w:rsidRDefault="00586869">
      <w:pPr>
        <w:ind w:firstLine="284"/>
        <w:jc w:val="both"/>
      </w:pPr>
      <w:r>
        <w:t>Площадь зоны разлива:</w:t>
      </w:r>
    </w:p>
    <w:p w:rsidR="00C33EE6" w:rsidRDefault="00586869">
      <w:pPr>
        <w:spacing w:before="120" w:after="120"/>
        <w:jc w:val="center"/>
        <w:rPr>
          <w:i/>
          <w:lang w:val="en-US"/>
        </w:rPr>
      </w:pPr>
      <w:r>
        <w:rPr>
          <w:i/>
          <w:lang w:val="en-US"/>
        </w:rPr>
        <w:t>F</w:t>
      </w:r>
      <w:proofErr w:type="spellStart"/>
      <w:r>
        <w:rPr>
          <w:i/>
          <w:vertAlign w:val="subscript"/>
        </w:rPr>
        <w:t>зр</w:t>
      </w:r>
      <w:proofErr w:type="spellEnd"/>
      <w:r>
        <w:rPr>
          <w:i/>
        </w:rPr>
        <w:t xml:space="preserve"> </w:t>
      </w:r>
      <w:r>
        <w:t xml:space="preserve">= </w:t>
      </w:r>
      <w:r>
        <w:rPr>
          <w:i/>
          <w:lang w:val="en-US"/>
        </w:rPr>
        <w:t>f</w:t>
      </w:r>
      <w:r>
        <w:rPr>
          <w:i/>
          <w:vertAlign w:val="subscript"/>
        </w:rPr>
        <w:t>з</w:t>
      </w:r>
      <w:r>
        <w:rPr>
          <w:i/>
        </w:rPr>
        <w:sym w:font="Symbol" w:char="F065"/>
      </w:r>
      <w:r>
        <w:rPr>
          <w:i/>
          <w:vertAlign w:val="subscript"/>
        </w:rPr>
        <w:t>р</w:t>
      </w:r>
      <w:r>
        <w:rPr>
          <w:i/>
          <w:lang w:val="en-US"/>
        </w:rPr>
        <w:t>V</w:t>
      </w:r>
      <w:r>
        <w:rPr>
          <w:i/>
          <w:vertAlign w:val="subscript"/>
        </w:rPr>
        <w:t>р</w:t>
      </w:r>
      <w:r>
        <w:t>,</w:t>
      </w:r>
    </w:p>
    <w:p w:rsidR="00C33EE6" w:rsidRDefault="00586869">
      <w:pPr>
        <w:jc w:val="both"/>
      </w:pPr>
      <w:r>
        <w:t>где</w:t>
      </w:r>
      <w:r>
        <w:rPr>
          <w:lang w:val="en-US"/>
        </w:rPr>
        <w:t xml:space="preserve"> </w:t>
      </w:r>
      <w:r>
        <w:rPr>
          <w:i/>
          <w:lang w:val="en-US"/>
        </w:rPr>
        <w:t>F</w:t>
      </w:r>
      <w:proofErr w:type="spellStart"/>
      <w:r>
        <w:rPr>
          <w:i/>
          <w:vertAlign w:val="subscript"/>
        </w:rPr>
        <w:t>зр</w:t>
      </w:r>
      <w:proofErr w:type="spellEnd"/>
      <w:r>
        <w:rPr>
          <w:i/>
          <w:lang w:val="en-US"/>
        </w:rPr>
        <w:t xml:space="preserve"> </w:t>
      </w:r>
      <w:r>
        <w:rPr>
          <w:i/>
        </w:rPr>
        <w:t>-</w:t>
      </w:r>
      <w:r>
        <w:t xml:space="preserve"> площадь зоны разлива, м</w:t>
      </w:r>
      <w:r>
        <w:rPr>
          <w:vertAlign w:val="superscript"/>
        </w:rPr>
        <w:t>2</w:t>
      </w:r>
      <w:r>
        <w:t xml:space="preserve">, </w:t>
      </w:r>
      <w:r>
        <w:rPr>
          <w:i/>
          <w:lang w:val="en-US"/>
        </w:rPr>
        <w:t>f</w:t>
      </w:r>
      <w:r>
        <w:rPr>
          <w:i/>
          <w:vertAlign w:val="subscript"/>
        </w:rPr>
        <w:t>з</w:t>
      </w:r>
      <w:r>
        <w:t xml:space="preserve"> - коэффициент разлива, м</w:t>
      </w:r>
      <w:r>
        <w:rPr>
          <w:vertAlign w:val="superscript"/>
        </w:rPr>
        <w:t>-1</w:t>
      </w:r>
      <w:r>
        <w:t xml:space="preserve">; </w:t>
      </w:r>
      <w:r>
        <w:rPr>
          <w:i/>
        </w:rPr>
        <w:sym w:font="Symbol" w:char="F065"/>
      </w:r>
      <w:proofErr w:type="gramStart"/>
      <w:r>
        <w:rPr>
          <w:i/>
          <w:vertAlign w:val="subscript"/>
        </w:rPr>
        <w:t>р</w:t>
      </w:r>
      <w:proofErr w:type="gramEnd"/>
      <w:r>
        <w:rPr>
          <w:i/>
        </w:rPr>
        <w:t xml:space="preserve"> -</w:t>
      </w:r>
      <w:r>
        <w:t xml:space="preserve"> степень заполнения резервуара;</w:t>
      </w:r>
      <w:r>
        <w:rPr>
          <w:lang w:val="en-US"/>
        </w:rPr>
        <w:t xml:space="preserve"> </w:t>
      </w:r>
      <w:proofErr w:type="spellStart"/>
      <w:r>
        <w:rPr>
          <w:i/>
          <w:lang w:val="en-US"/>
        </w:rPr>
        <w:t>Vp</w:t>
      </w:r>
      <w:proofErr w:type="spellEnd"/>
      <w:r>
        <w:rPr>
          <w:i/>
        </w:rPr>
        <w:t xml:space="preserve"> -</w:t>
      </w:r>
      <w:r>
        <w:t xml:space="preserve"> номинальная вместимость резервуара, м</w:t>
      </w:r>
      <w:r>
        <w:rPr>
          <w:vertAlign w:val="superscript"/>
        </w:rPr>
        <w:t>3</w:t>
      </w:r>
      <w:r>
        <w:t>.</w:t>
      </w:r>
    </w:p>
    <w:p w:rsidR="00C33EE6" w:rsidRDefault="00586869">
      <w:pPr>
        <w:ind w:firstLine="284"/>
        <w:jc w:val="both"/>
      </w:pPr>
      <w:r>
        <w:t xml:space="preserve">Степень заполнения резервуара допускается принимать </w:t>
      </w:r>
      <w:proofErr w:type="gramStart"/>
      <w:r>
        <w:t>равной</w:t>
      </w:r>
      <w:proofErr w:type="gramEnd"/>
      <w:r>
        <w:t xml:space="preserve"> 0.9.</w:t>
      </w:r>
    </w:p>
    <w:p w:rsidR="00C33EE6" w:rsidRDefault="00586869">
      <w:pPr>
        <w:ind w:firstLine="284"/>
        <w:jc w:val="both"/>
      </w:pPr>
      <w:r>
        <w:t>Коэффициент разлива определяют исходя из расположения наземного резервуара на местности:</w:t>
      </w:r>
    </w:p>
    <w:p w:rsidR="00C33EE6" w:rsidRDefault="00AE624D">
      <w:pPr>
        <w:spacing w:before="120" w:after="120"/>
        <w:jc w:val="center"/>
      </w:pPr>
      <w:r>
        <w:rPr>
          <w:position w:val="-4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3" type="#_x0000_t75" style="width:296.5pt;height:47pt">
            <v:imagedata r:id="rId10" o:title=""/>
          </v:shape>
        </w:pict>
      </w:r>
      <w:r w:rsidR="00586869">
        <w:t xml:space="preserve"> </w:t>
      </w:r>
    </w:p>
    <w:p w:rsidR="00C33EE6" w:rsidRDefault="00586869">
      <w:pPr>
        <w:ind w:firstLine="284"/>
        <w:jc w:val="both"/>
      </w:pPr>
      <w:r>
        <w:t>Приведенную форму зоны разлива нефтепродукта принимают в зависимости от расположения резервуара на местности.</w:t>
      </w:r>
    </w:p>
    <w:p w:rsidR="00C33EE6" w:rsidRDefault="00586869">
      <w:pPr>
        <w:ind w:firstLine="284"/>
        <w:jc w:val="both"/>
      </w:pPr>
      <w:r>
        <w:t>При расположении в низине или на ровной поверхности - в виде круга с радиусом</w:t>
      </w:r>
    </w:p>
    <w:p w:rsidR="00C33EE6" w:rsidRDefault="00AE624D">
      <w:pPr>
        <w:spacing w:before="120" w:after="120"/>
        <w:jc w:val="center"/>
      </w:pPr>
      <w:r>
        <w:rPr>
          <w:position w:val="-14"/>
        </w:rPr>
        <w:pict>
          <v:shape id="_x0000_i1032" type="#_x0000_t75" style="width:61pt;height:20.5pt">
            <v:imagedata r:id="rId11" o:title=""/>
          </v:shape>
        </w:pict>
      </w:r>
      <w:r w:rsidR="00586869">
        <w:t>.</w:t>
      </w:r>
    </w:p>
    <w:p w:rsidR="00C33EE6" w:rsidRDefault="00586869">
      <w:pPr>
        <w:ind w:firstLine="284"/>
        <w:jc w:val="both"/>
      </w:pPr>
      <w:r>
        <w:t xml:space="preserve">При расположении резервуара на возвышенности - в виде эллипса. Значения осей эллипса определяют по следующим формулам: </w:t>
      </w:r>
    </w:p>
    <w:p w:rsidR="00C33EE6" w:rsidRDefault="00586869">
      <w:pPr>
        <w:ind w:firstLine="284"/>
        <w:jc w:val="both"/>
      </w:pPr>
      <w:r>
        <w:t>большой полуоси</w:t>
      </w:r>
    </w:p>
    <w:p w:rsidR="00C33EE6" w:rsidRDefault="00AE624D">
      <w:pPr>
        <w:spacing w:before="120" w:after="120"/>
        <w:jc w:val="center"/>
      </w:pPr>
      <w:r>
        <w:rPr>
          <w:position w:val="-14"/>
        </w:rPr>
        <w:lastRenderedPageBreak/>
        <w:pict>
          <v:shape id="_x0000_i1031" type="#_x0000_t75" style="width:1in;height:20.5pt">
            <v:imagedata r:id="rId12" o:title=""/>
          </v:shape>
        </w:pict>
      </w:r>
      <w:r w:rsidR="00586869">
        <w:t>;</w:t>
      </w:r>
    </w:p>
    <w:p w:rsidR="00C33EE6" w:rsidRDefault="00586869">
      <w:pPr>
        <w:ind w:firstLine="284"/>
        <w:jc w:val="both"/>
      </w:pPr>
      <w:r>
        <w:t xml:space="preserve">малой оси </w:t>
      </w:r>
    </w:p>
    <w:p w:rsidR="00C33EE6" w:rsidRDefault="00586869">
      <w:pPr>
        <w:spacing w:before="120" w:after="120"/>
        <w:jc w:val="center"/>
        <w:rPr>
          <w:lang w:val="en-US"/>
        </w:rPr>
      </w:pPr>
      <w:proofErr w:type="gramStart"/>
      <w:r>
        <w:rPr>
          <w:i/>
          <w:lang w:val="en-US"/>
        </w:rPr>
        <w:t>a</w:t>
      </w:r>
      <w:proofErr w:type="spellStart"/>
      <w:r>
        <w:rPr>
          <w:i/>
          <w:vertAlign w:val="subscript"/>
        </w:rPr>
        <w:t>зр</w:t>
      </w:r>
      <w:proofErr w:type="spellEnd"/>
      <w:proofErr w:type="gramEnd"/>
      <w:r>
        <w:rPr>
          <w:i/>
        </w:rPr>
        <w:t xml:space="preserve"> </w:t>
      </w:r>
      <w:r>
        <w:rPr>
          <w:i/>
          <w:lang w:val="en-US"/>
        </w:rPr>
        <w:t>=</w:t>
      </w:r>
      <w:r>
        <w:rPr>
          <w:i/>
        </w:rPr>
        <w:t xml:space="preserve"> </w:t>
      </w:r>
      <w:r>
        <w:rPr>
          <w:i/>
          <w:lang w:val="en-US"/>
        </w:rPr>
        <w:t>4F</w:t>
      </w:r>
      <w:r>
        <w:rPr>
          <w:i/>
          <w:vertAlign w:val="subscript"/>
        </w:rPr>
        <w:t>з</w:t>
      </w:r>
      <w:r>
        <w:rPr>
          <w:i/>
          <w:vertAlign w:val="subscript"/>
          <w:lang w:val="en-US"/>
        </w:rPr>
        <w:t>p</w:t>
      </w:r>
      <w:r>
        <w:rPr>
          <w:lang w:val="en-US"/>
        </w:rPr>
        <w:t>/(</w:t>
      </w:r>
      <w:r>
        <w:rPr>
          <w:i/>
          <w:lang w:val="en-US"/>
        </w:rPr>
        <w:sym w:font="Symbol" w:char="F070"/>
      </w:r>
      <w:r>
        <w:rPr>
          <w:i/>
          <w:lang w:val="en-US"/>
        </w:rPr>
        <w:t>b</w:t>
      </w:r>
      <w:proofErr w:type="spellStart"/>
      <w:r>
        <w:rPr>
          <w:i/>
          <w:vertAlign w:val="subscript"/>
        </w:rPr>
        <w:t>зр</w:t>
      </w:r>
      <w:proofErr w:type="spellEnd"/>
      <w:r>
        <w:t>),</w:t>
      </w:r>
    </w:p>
    <w:p w:rsidR="00C33EE6" w:rsidRDefault="00586869">
      <w:pPr>
        <w:jc w:val="both"/>
      </w:pPr>
      <w:r>
        <w:t xml:space="preserve">где </w:t>
      </w:r>
      <w:r>
        <w:rPr>
          <w:i/>
        </w:rPr>
        <w:t>К</w:t>
      </w:r>
      <w:r>
        <w:rPr>
          <w:i/>
          <w:vertAlign w:val="subscript"/>
        </w:rPr>
        <w:t>ук</w:t>
      </w:r>
      <w:r>
        <w:rPr>
          <w:i/>
        </w:rPr>
        <w:t xml:space="preserve"> -</w:t>
      </w:r>
      <w:r>
        <w:rPr>
          <w:lang w:val="en-US"/>
        </w:rPr>
        <w:t xml:space="preserve"> </w:t>
      </w:r>
      <w:r>
        <w:t>коэффициент, характеризующий уклон местности.</w:t>
      </w:r>
    </w:p>
    <w:p w:rsidR="00C33EE6" w:rsidRDefault="00586869">
      <w:pPr>
        <w:ind w:firstLine="284"/>
        <w:jc w:val="both"/>
      </w:pPr>
      <w:r>
        <w:t xml:space="preserve">Значение </w:t>
      </w:r>
      <w:r>
        <w:rPr>
          <w:i/>
        </w:rPr>
        <w:t>К</w:t>
      </w:r>
      <w:r>
        <w:rPr>
          <w:i/>
          <w:vertAlign w:val="subscript"/>
        </w:rPr>
        <w:t>ук</w:t>
      </w:r>
      <w:r>
        <w:t xml:space="preserve"> определяют исходя из уклона местности:</w:t>
      </w:r>
    </w:p>
    <w:p w:rsidR="00C33EE6" w:rsidRDefault="00AE624D">
      <w:pPr>
        <w:spacing w:before="120" w:after="120"/>
        <w:jc w:val="center"/>
      </w:pPr>
      <w:r>
        <w:rPr>
          <w:position w:val="-26"/>
        </w:rPr>
        <w:pict>
          <v:shape id="_x0000_i1030" type="#_x0000_t75" style="width:211pt;height:32pt">
            <v:imagedata r:id="rId13" o:title=""/>
          </v:shape>
        </w:pict>
      </w:r>
      <w:r w:rsidR="00586869">
        <w:t xml:space="preserve"> </w:t>
      </w:r>
    </w:p>
    <w:p w:rsidR="00C33EE6" w:rsidRDefault="00586869">
      <w:pPr>
        <w:ind w:firstLine="284"/>
        <w:jc w:val="both"/>
      </w:pPr>
      <w:r>
        <w:t>Допускается определять параметры разлива нефтепродукта по материалам реальных аварий при адекватности анализируемых ситуаций.</w:t>
      </w:r>
    </w:p>
    <w:p w:rsidR="00C33EE6" w:rsidRDefault="00586869">
      <w:pPr>
        <w:spacing w:before="120" w:after="120"/>
        <w:ind w:firstLine="284"/>
        <w:jc w:val="right"/>
        <w:rPr>
          <w:i/>
        </w:rPr>
      </w:pPr>
      <w:r>
        <w:rPr>
          <w:i/>
          <w:spacing w:val="40"/>
        </w:rPr>
        <w:t>Таблица</w:t>
      </w:r>
      <w:r>
        <w:rPr>
          <w:i/>
        </w:rPr>
        <w:t xml:space="preserve"> 1.1</w:t>
      </w:r>
    </w:p>
    <w:p w:rsidR="00C33EE6" w:rsidRDefault="00586869">
      <w:pPr>
        <w:spacing w:after="120"/>
        <w:jc w:val="center"/>
        <w:rPr>
          <w:b/>
        </w:rPr>
      </w:pPr>
      <w:r>
        <w:rPr>
          <w:b/>
        </w:rPr>
        <w:t>Зоны аварийного разлива нефтепродукта в случае полного разрушения наземного вертикального стального резервуара</w:t>
      </w:r>
    </w:p>
    <w:tbl>
      <w:tblPr>
        <w:tblW w:w="0" w:type="auto"/>
        <w:jc w:val="center"/>
        <w:tblInd w:w="40" w:type="dxa"/>
        <w:tblLayout w:type="fixed"/>
        <w:tblCellMar>
          <w:left w:w="28" w:type="dxa"/>
          <w:right w:w="28" w:type="dxa"/>
        </w:tblCellMar>
        <w:tblLook w:val="0000" w:firstRow="0" w:lastRow="0" w:firstColumn="0" w:lastColumn="0" w:noHBand="0" w:noVBand="0"/>
      </w:tblPr>
      <w:tblGrid>
        <w:gridCol w:w="1264"/>
        <w:gridCol w:w="1006"/>
        <w:gridCol w:w="1006"/>
        <w:gridCol w:w="1006"/>
        <w:gridCol w:w="1518"/>
        <w:gridCol w:w="1134"/>
      </w:tblGrid>
      <w:tr w:rsidR="00C33EE6" w:rsidTr="00A8592F">
        <w:trPr>
          <w:jc w:val="center"/>
        </w:trPr>
        <w:tc>
          <w:tcPr>
            <w:tcW w:w="1264" w:type="dxa"/>
            <w:tcBorders>
              <w:top w:val="single" w:sz="6" w:space="0" w:color="auto"/>
              <w:left w:val="single" w:sz="6" w:space="0" w:color="auto"/>
              <w:right w:val="single" w:sz="6" w:space="0" w:color="auto"/>
            </w:tcBorders>
          </w:tcPr>
          <w:p w:rsidR="00C33EE6" w:rsidRDefault="00586869">
            <w:pPr>
              <w:jc w:val="center"/>
            </w:pPr>
            <w:r>
              <w:t xml:space="preserve">Вместимость резервуара, </w:t>
            </w:r>
          </w:p>
        </w:tc>
        <w:tc>
          <w:tcPr>
            <w:tcW w:w="5670" w:type="dxa"/>
            <w:gridSpan w:val="5"/>
            <w:tcBorders>
              <w:top w:val="single" w:sz="6" w:space="0" w:color="auto"/>
              <w:left w:val="single" w:sz="6" w:space="0" w:color="auto"/>
              <w:bottom w:val="single" w:sz="6" w:space="0" w:color="auto"/>
              <w:right w:val="single" w:sz="6" w:space="0" w:color="auto"/>
            </w:tcBorders>
          </w:tcPr>
          <w:p w:rsidR="00C33EE6" w:rsidRDefault="00586869">
            <w:pPr>
              <w:jc w:val="center"/>
            </w:pPr>
            <w:r>
              <w:t>Показатели пожарной опасности разлива для случая расположения резервуара</w:t>
            </w:r>
          </w:p>
        </w:tc>
      </w:tr>
      <w:tr w:rsidR="00C33EE6" w:rsidTr="00A8592F">
        <w:trPr>
          <w:jc w:val="center"/>
        </w:trPr>
        <w:tc>
          <w:tcPr>
            <w:tcW w:w="1264" w:type="dxa"/>
            <w:tcBorders>
              <w:left w:val="single" w:sz="6" w:space="0" w:color="auto"/>
              <w:right w:val="single" w:sz="6" w:space="0" w:color="auto"/>
            </w:tcBorders>
          </w:tcPr>
          <w:p w:rsidR="00C33EE6" w:rsidRDefault="00586869">
            <w:pPr>
              <w:jc w:val="center"/>
            </w:pPr>
            <w:r>
              <w:t>м</w:t>
            </w:r>
            <w:r>
              <w:rPr>
                <w:vertAlign w:val="superscript"/>
              </w:rPr>
              <w:t>3</w:t>
            </w:r>
          </w:p>
        </w:tc>
        <w:tc>
          <w:tcPr>
            <w:tcW w:w="2012" w:type="dxa"/>
            <w:gridSpan w:val="2"/>
            <w:tcBorders>
              <w:top w:val="single" w:sz="6" w:space="0" w:color="auto"/>
              <w:left w:val="single" w:sz="6" w:space="0" w:color="auto"/>
              <w:bottom w:val="single" w:sz="6" w:space="0" w:color="auto"/>
              <w:right w:val="single" w:sz="6" w:space="0" w:color="auto"/>
            </w:tcBorders>
          </w:tcPr>
          <w:p w:rsidR="00C33EE6" w:rsidRDefault="00586869">
            <w:pPr>
              <w:jc w:val="center"/>
            </w:pPr>
            <w:r>
              <w:t>в низине или на ровной площадке (уклон &lt; 1 %)</w:t>
            </w:r>
          </w:p>
        </w:tc>
        <w:tc>
          <w:tcPr>
            <w:tcW w:w="3658" w:type="dxa"/>
            <w:gridSpan w:val="3"/>
            <w:tcBorders>
              <w:top w:val="single" w:sz="6" w:space="0" w:color="auto"/>
              <w:left w:val="single" w:sz="6" w:space="0" w:color="auto"/>
              <w:bottom w:val="single" w:sz="6" w:space="0" w:color="auto"/>
              <w:right w:val="single" w:sz="6" w:space="0" w:color="auto"/>
            </w:tcBorders>
          </w:tcPr>
          <w:p w:rsidR="00C33EE6" w:rsidRDefault="00586869">
            <w:pPr>
              <w:jc w:val="center"/>
            </w:pPr>
            <w:r>
              <w:t>на возвышенности</w:t>
            </w:r>
          </w:p>
        </w:tc>
      </w:tr>
      <w:tr w:rsidR="00C33EE6" w:rsidTr="00A8592F">
        <w:trPr>
          <w:jc w:val="center"/>
        </w:trPr>
        <w:tc>
          <w:tcPr>
            <w:tcW w:w="1264" w:type="dxa"/>
            <w:tcBorders>
              <w:left w:val="single" w:sz="6" w:space="0" w:color="auto"/>
              <w:right w:val="single" w:sz="6" w:space="0" w:color="auto"/>
            </w:tcBorders>
          </w:tcPr>
          <w:p w:rsidR="00C33EE6" w:rsidRDefault="00C33EE6">
            <w:pPr>
              <w:jc w:val="center"/>
            </w:pPr>
          </w:p>
        </w:tc>
        <w:tc>
          <w:tcPr>
            <w:tcW w:w="1006" w:type="dxa"/>
            <w:tcBorders>
              <w:top w:val="single" w:sz="6" w:space="0" w:color="auto"/>
              <w:left w:val="single" w:sz="6" w:space="0" w:color="auto"/>
              <w:right w:val="single" w:sz="6" w:space="0" w:color="auto"/>
            </w:tcBorders>
          </w:tcPr>
          <w:p w:rsidR="00C33EE6" w:rsidRDefault="00586869">
            <w:pPr>
              <w:jc w:val="center"/>
            </w:pPr>
            <w:r>
              <w:t>площадь</w:t>
            </w:r>
            <w:r>
              <w:rPr>
                <w:lang w:val="en-US"/>
              </w:rPr>
              <w:t xml:space="preserve">, </w:t>
            </w:r>
            <w:r>
              <w:t>м</w:t>
            </w:r>
            <w:proofErr w:type="gramStart"/>
            <w:r>
              <w:rPr>
                <w:vertAlign w:val="superscript"/>
              </w:rPr>
              <w:t>2</w:t>
            </w:r>
            <w:proofErr w:type="gramEnd"/>
          </w:p>
        </w:tc>
        <w:tc>
          <w:tcPr>
            <w:tcW w:w="1006" w:type="dxa"/>
            <w:tcBorders>
              <w:top w:val="single" w:sz="6" w:space="0" w:color="auto"/>
              <w:left w:val="single" w:sz="6" w:space="0" w:color="auto"/>
              <w:right w:val="single" w:sz="6" w:space="0" w:color="auto"/>
            </w:tcBorders>
          </w:tcPr>
          <w:p w:rsidR="00C33EE6" w:rsidRDefault="00586869">
            <w:pPr>
              <w:jc w:val="center"/>
            </w:pPr>
            <w:r>
              <w:t xml:space="preserve">радиус </w:t>
            </w:r>
          </w:p>
        </w:tc>
        <w:tc>
          <w:tcPr>
            <w:tcW w:w="1006" w:type="dxa"/>
            <w:tcBorders>
              <w:top w:val="single" w:sz="6" w:space="0" w:color="auto"/>
              <w:left w:val="single" w:sz="6" w:space="0" w:color="auto"/>
              <w:right w:val="single" w:sz="6" w:space="0" w:color="auto"/>
            </w:tcBorders>
          </w:tcPr>
          <w:p w:rsidR="00C33EE6" w:rsidRDefault="00586869">
            <w:pPr>
              <w:jc w:val="center"/>
            </w:pPr>
            <w:r>
              <w:t>площадь</w:t>
            </w:r>
            <w:r>
              <w:rPr>
                <w:lang w:val="en-US"/>
              </w:rPr>
              <w:t xml:space="preserve">, </w:t>
            </w:r>
            <w:r>
              <w:t>м</w:t>
            </w:r>
            <w:proofErr w:type="gramStart"/>
            <w:r>
              <w:rPr>
                <w:vertAlign w:val="superscript"/>
              </w:rPr>
              <w:t>2</w:t>
            </w:r>
            <w:proofErr w:type="gramEnd"/>
          </w:p>
        </w:tc>
        <w:tc>
          <w:tcPr>
            <w:tcW w:w="1518" w:type="dxa"/>
            <w:tcBorders>
              <w:top w:val="single" w:sz="6" w:space="0" w:color="auto"/>
              <w:left w:val="single" w:sz="6" w:space="0" w:color="auto"/>
              <w:bottom w:val="single" w:sz="6" w:space="0" w:color="auto"/>
              <w:right w:val="single" w:sz="6" w:space="0" w:color="auto"/>
            </w:tcBorders>
          </w:tcPr>
          <w:p w:rsidR="00C33EE6" w:rsidRDefault="00586869">
            <w:pPr>
              <w:jc w:val="center"/>
            </w:pPr>
            <w:r>
              <w:t>уклон 1-3 %</w:t>
            </w:r>
          </w:p>
        </w:tc>
        <w:tc>
          <w:tcPr>
            <w:tcW w:w="1134" w:type="dxa"/>
            <w:tcBorders>
              <w:top w:val="single" w:sz="6" w:space="0" w:color="auto"/>
              <w:left w:val="single" w:sz="6" w:space="0" w:color="auto"/>
              <w:bottom w:val="single" w:sz="6" w:space="0" w:color="auto"/>
              <w:right w:val="single" w:sz="6" w:space="0" w:color="auto"/>
            </w:tcBorders>
          </w:tcPr>
          <w:p w:rsidR="00C33EE6" w:rsidRDefault="00586869">
            <w:pPr>
              <w:jc w:val="center"/>
              <w:rPr>
                <w:i/>
              </w:rPr>
            </w:pPr>
            <w:r>
              <w:t xml:space="preserve">уклон &gt; 3 % </w:t>
            </w:r>
          </w:p>
        </w:tc>
      </w:tr>
      <w:tr w:rsidR="00C33EE6" w:rsidTr="00A8592F">
        <w:trPr>
          <w:jc w:val="center"/>
        </w:trPr>
        <w:tc>
          <w:tcPr>
            <w:tcW w:w="1264" w:type="dxa"/>
            <w:tcBorders>
              <w:left w:val="single" w:sz="6" w:space="0" w:color="auto"/>
              <w:bottom w:val="single" w:sz="6" w:space="0" w:color="auto"/>
              <w:right w:val="single" w:sz="6" w:space="0" w:color="auto"/>
            </w:tcBorders>
          </w:tcPr>
          <w:p w:rsidR="00C33EE6" w:rsidRDefault="00C33EE6">
            <w:pPr>
              <w:jc w:val="center"/>
              <w:rPr>
                <w:i/>
              </w:rPr>
            </w:pPr>
          </w:p>
        </w:tc>
        <w:tc>
          <w:tcPr>
            <w:tcW w:w="1006" w:type="dxa"/>
            <w:tcBorders>
              <w:left w:val="single" w:sz="6" w:space="0" w:color="auto"/>
              <w:bottom w:val="single" w:sz="6" w:space="0" w:color="auto"/>
              <w:right w:val="single" w:sz="6" w:space="0" w:color="auto"/>
            </w:tcBorders>
          </w:tcPr>
          <w:p w:rsidR="00C33EE6" w:rsidRDefault="00C33EE6">
            <w:pPr>
              <w:jc w:val="center"/>
              <w:rPr>
                <w:i/>
              </w:rPr>
            </w:pPr>
          </w:p>
        </w:tc>
        <w:tc>
          <w:tcPr>
            <w:tcW w:w="1006" w:type="dxa"/>
            <w:tcBorders>
              <w:left w:val="single" w:sz="6" w:space="0" w:color="auto"/>
              <w:bottom w:val="single" w:sz="6" w:space="0" w:color="auto"/>
              <w:right w:val="single" w:sz="6" w:space="0" w:color="auto"/>
            </w:tcBorders>
          </w:tcPr>
          <w:p w:rsidR="00C33EE6" w:rsidRDefault="00586869">
            <w:pPr>
              <w:jc w:val="center"/>
              <w:rPr>
                <w:i/>
              </w:rPr>
            </w:pPr>
            <w:r>
              <w:t xml:space="preserve">зоны, </w:t>
            </w:r>
            <w:proofErr w:type="gramStart"/>
            <w:r>
              <w:t>м</w:t>
            </w:r>
            <w:proofErr w:type="gramEnd"/>
          </w:p>
        </w:tc>
        <w:tc>
          <w:tcPr>
            <w:tcW w:w="1006" w:type="dxa"/>
            <w:tcBorders>
              <w:left w:val="single" w:sz="6" w:space="0" w:color="auto"/>
              <w:bottom w:val="single" w:sz="6" w:space="0" w:color="auto"/>
              <w:right w:val="single" w:sz="6" w:space="0" w:color="auto"/>
            </w:tcBorders>
          </w:tcPr>
          <w:p w:rsidR="00C33EE6" w:rsidRDefault="00C33EE6">
            <w:pPr>
              <w:jc w:val="center"/>
              <w:rPr>
                <w:i/>
              </w:rPr>
            </w:pPr>
          </w:p>
        </w:tc>
        <w:tc>
          <w:tcPr>
            <w:tcW w:w="1518" w:type="dxa"/>
            <w:tcBorders>
              <w:top w:val="single" w:sz="6" w:space="0" w:color="auto"/>
              <w:left w:val="single" w:sz="6" w:space="0" w:color="auto"/>
              <w:bottom w:val="single" w:sz="6" w:space="0" w:color="auto"/>
              <w:right w:val="single" w:sz="6" w:space="0" w:color="auto"/>
            </w:tcBorders>
          </w:tcPr>
          <w:p w:rsidR="00C33EE6" w:rsidRDefault="00586869">
            <w:pPr>
              <w:jc w:val="center"/>
            </w:pPr>
            <w:r>
              <w:rPr>
                <w:u w:val="single"/>
              </w:rPr>
              <w:t>большая</w:t>
            </w:r>
            <w:r>
              <w:t xml:space="preserve"> малая ось, </w:t>
            </w:r>
            <w:proofErr w:type="gramStart"/>
            <w:r>
              <w:t>м</w:t>
            </w:r>
            <w:proofErr w:type="gramEnd"/>
          </w:p>
        </w:tc>
        <w:tc>
          <w:tcPr>
            <w:tcW w:w="1134" w:type="dxa"/>
            <w:tcBorders>
              <w:top w:val="single" w:sz="6" w:space="0" w:color="auto"/>
              <w:left w:val="single" w:sz="6" w:space="0" w:color="auto"/>
              <w:bottom w:val="single" w:sz="6" w:space="0" w:color="auto"/>
              <w:right w:val="single" w:sz="6" w:space="0" w:color="auto"/>
            </w:tcBorders>
          </w:tcPr>
          <w:p w:rsidR="00C33EE6" w:rsidRDefault="00586869">
            <w:pPr>
              <w:jc w:val="center"/>
            </w:pPr>
            <w:r>
              <w:rPr>
                <w:u w:val="single"/>
              </w:rPr>
              <w:t>большая</w:t>
            </w:r>
            <w:r>
              <w:t xml:space="preserve"> малая ось, </w:t>
            </w:r>
            <w:proofErr w:type="gramStart"/>
            <w:r>
              <w:t>м</w:t>
            </w:r>
            <w:proofErr w:type="gramEnd"/>
          </w:p>
        </w:tc>
      </w:tr>
      <w:tr w:rsidR="00C33EE6" w:rsidTr="00A8592F">
        <w:trPr>
          <w:jc w:val="center"/>
        </w:trPr>
        <w:tc>
          <w:tcPr>
            <w:tcW w:w="1264" w:type="dxa"/>
            <w:tcBorders>
              <w:top w:val="single" w:sz="6" w:space="0" w:color="auto"/>
              <w:left w:val="single" w:sz="6" w:space="0" w:color="auto"/>
              <w:bottom w:val="single" w:sz="6" w:space="0" w:color="auto"/>
              <w:right w:val="single" w:sz="6" w:space="0" w:color="auto"/>
            </w:tcBorders>
          </w:tcPr>
          <w:p w:rsidR="00C33EE6" w:rsidRDefault="00586869">
            <w:pPr>
              <w:jc w:val="center"/>
            </w:pPr>
            <w:r>
              <w:t>100</w:t>
            </w:r>
          </w:p>
        </w:tc>
        <w:tc>
          <w:tcPr>
            <w:tcW w:w="1006" w:type="dxa"/>
            <w:tcBorders>
              <w:top w:val="single" w:sz="6" w:space="0" w:color="auto"/>
              <w:left w:val="single" w:sz="6" w:space="0" w:color="auto"/>
              <w:bottom w:val="single" w:sz="6" w:space="0" w:color="auto"/>
              <w:right w:val="single" w:sz="6" w:space="0" w:color="auto"/>
            </w:tcBorders>
          </w:tcPr>
          <w:p w:rsidR="00C33EE6" w:rsidRDefault="00586869">
            <w:pPr>
              <w:jc w:val="center"/>
            </w:pPr>
            <w:r>
              <w:t>450</w:t>
            </w:r>
          </w:p>
        </w:tc>
        <w:tc>
          <w:tcPr>
            <w:tcW w:w="1006" w:type="dxa"/>
            <w:tcBorders>
              <w:top w:val="single" w:sz="6" w:space="0" w:color="auto"/>
              <w:left w:val="single" w:sz="6" w:space="0" w:color="auto"/>
              <w:bottom w:val="single" w:sz="6" w:space="0" w:color="auto"/>
              <w:right w:val="single" w:sz="6" w:space="0" w:color="auto"/>
            </w:tcBorders>
          </w:tcPr>
          <w:p w:rsidR="00C33EE6" w:rsidRDefault="00586869">
            <w:pPr>
              <w:jc w:val="center"/>
            </w:pPr>
            <w:r>
              <w:t>12</w:t>
            </w:r>
          </w:p>
        </w:tc>
        <w:tc>
          <w:tcPr>
            <w:tcW w:w="1006" w:type="dxa"/>
            <w:tcBorders>
              <w:top w:val="single" w:sz="6" w:space="0" w:color="auto"/>
              <w:left w:val="single" w:sz="6" w:space="0" w:color="auto"/>
              <w:bottom w:val="single" w:sz="6" w:space="0" w:color="auto"/>
              <w:right w:val="single" w:sz="6" w:space="0" w:color="auto"/>
            </w:tcBorders>
          </w:tcPr>
          <w:p w:rsidR="00C33EE6" w:rsidRDefault="00586869">
            <w:pPr>
              <w:jc w:val="center"/>
            </w:pPr>
            <w:r>
              <w:t>1080</w:t>
            </w:r>
          </w:p>
        </w:tc>
        <w:tc>
          <w:tcPr>
            <w:tcW w:w="1518" w:type="dxa"/>
            <w:tcBorders>
              <w:top w:val="single" w:sz="6" w:space="0" w:color="auto"/>
              <w:left w:val="single" w:sz="6" w:space="0" w:color="auto"/>
              <w:bottom w:val="single" w:sz="6" w:space="0" w:color="auto"/>
              <w:right w:val="single" w:sz="6" w:space="0" w:color="auto"/>
            </w:tcBorders>
          </w:tcPr>
          <w:p w:rsidR="00C33EE6" w:rsidRDefault="00586869">
            <w:pPr>
              <w:jc w:val="center"/>
            </w:pPr>
            <w:r>
              <w:rPr>
                <w:u w:val="single"/>
              </w:rPr>
              <w:t>52</w:t>
            </w:r>
          </w:p>
          <w:p w:rsidR="00C33EE6" w:rsidRDefault="00586869">
            <w:pPr>
              <w:jc w:val="center"/>
            </w:pPr>
            <w:r>
              <w:t>26</w:t>
            </w:r>
          </w:p>
        </w:tc>
        <w:tc>
          <w:tcPr>
            <w:tcW w:w="1134" w:type="dxa"/>
            <w:tcBorders>
              <w:top w:val="single" w:sz="6" w:space="0" w:color="auto"/>
              <w:left w:val="single" w:sz="6" w:space="0" w:color="auto"/>
              <w:bottom w:val="single" w:sz="6" w:space="0" w:color="auto"/>
              <w:right w:val="single" w:sz="6" w:space="0" w:color="auto"/>
            </w:tcBorders>
          </w:tcPr>
          <w:p w:rsidR="00C33EE6" w:rsidRDefault="00586869">
            <w:pPr>
              <w:jc w:val="center"/>
            </w:pPr>
            <w:r>
              <w:rPr>
                <w:u w:val="single"/>
              </w:rPr>
              <w:t>74</w:t>
            </w:r>
          </w:p>
          <w:p w:rsidR="00C33EE6" w:rsidRDefault="00586869">
            <w:pPr>
              <w:jc w:val="center"/>
            </w:pPr>
            <w:r>
              <w:t>18</w:t>
            </w:r>
          </w:p>
        </w:tc>
      </w:tr>
      <w:tr w:rsidR="00C33EE6" w:rsidTr="00A8592F">
        <w:trPr>
          <w:jc w:val="center"/>
        </w:trPr>
        <w:tc>
          <w:tcPr>
            <w:tcW w:w="1264" w:type="dxa"/>
            <w:tcBorders>
              <w:top w:val="single" w:sz="6" w:space="0" w:color="auto"/>
              <w:left w:val="single" w:sz="6" w:space="0" w:color="auto"/>
              <w:bottom w:val="single" w:sz="6" w:space="0" w:color="auto"/>
              <w:right w:val="single" w:sz="6" w:space="0" w:color="auto"/>
            </w:tcBorders>
          </w:tcPr>
          <w:p w:rsidR="00C33EE6" w:rsidRDefault="00586869">
            <w:pPr>
              <w:jc w:val="center"/>
            </w:pPr>
            <w:r>
              <w:t>200</w:t>
            </w:r>
          </w:p>
        </w:tc>
        <w:tc>
          <w:tcPr>
            <w:tcW w:w="1006" w:type="dxa"/>
            <w:tcBorders>
              <w:top w:val="single" w:sz="6" w:space="0" w:color="auto"/>
              <w:left w:val="single" w:sz="6" w:space="0" w:color="auto"/>
              <w:bottom w:val="single" w:sz="6" w:space="0" w:color="auto"/>
              <w:right w:val="single" w:sz="6" w:space="0" w:color="auto"/>
            </w:tcBorders>
          </w:tcPr>
          <w:p w:rsidR="00C33EE6" w:rsidRDefault="00586869">
            <w:pPr>
              <w:jc w:val="center"/>
            </w:pPr>
            <w:r>
              <w:t>900</w:t>
            </w:r>
          </w:p>
        </w:tc>
        <w:tc>
          <w:tcPr>
            <w:tcW w:w="1006" w:type="dxa"/>
            <w:tcBorders>
              <w:top w:val="single" w:sz="6" w:space="0" w:color="auto"/>
              <w:left w:val="single" w:sz="6" w:space="0" w:color="auto"/>
              <w:bottom w:val="single" w:sz="6" w:space="0" w:color="auto"/>
              <w:right w:val="single" w:sz="6" w:space="0" w:color="auto"/>
            </w:tcBorders>
          </w:tcPr>
          <w:p w:rsidR="00C33EE6" w:rsidRDefault="00586869">
            <w:pPr>
              <w:jc w:val="center"/>
            </w:pPr>
            <w:r>
              <w:t>17</w:t>
            </w:r>
          </w:p>
        </w:tc>
        <w:tc>
          <w:tcPr>
            <w:tcW w:w="1006" w:type="dxa"/>
            <w:tcBorders>
              <w:top w:val="single" w:sz="6" w:space="0" w:color="auto"/>
              <w:left w:val="single" w:sz="6" w:space="0" w:color="auto"/>
              <w:bottom w:val="single" w:sz="6" w:space="0" w:color="auto"/>
              <w:right w:val="single" w:sz="6" w:space="0" w:color="auto"/>
            </w:tcBorders>
          </w:tcPr>
          <w:p w:rsidR="00C33EE6" w:rsidRDefault="00586869">
            <w:pPr>
              <w:jc w:val="center"/>
            </w:pPr>
            <w:r>
              <w:t>2160</w:t>
            </w:r>
          </w:p>
        </w:tc>
        <w:tc>
          <w:tcPr>
            <w:tcW w:w="1518" w:type="dxa"/>
            <w:tcBorders>
              <w:top w:val="single" w:sz="6" w:space="0" w:color="auto"/>
              <w:left w:val="single" w:sz="6" w:space="0" w:color="auto"/>
              <w:bottom w:val="single" w:sz="6" w:space="0" w:color="auto"/>
              <w:right w:val="single" w:sz="6" w:space="0" w:color="auto"/>
            </w:tcBorders>
          </w:tcPr>
          <w:p w:rsidR="00C33EE6" w:rsidRDefault="00586869">
            <w:pPr>
              <w:jc w:val="center"/>
            </w:pPr>
            <w:r>
              <w:rPr>
                <w:u w:val="single"/>
              </w:rPr>
              <w:t>74</w:t>
            </w:r>
          </w:p>
          <w:p w:rsidR="00C33EE6" w:rsidRDefault="00586869">
            <w:pPr>
              <w:jc w:val="center"/>
            </w:pPr>
            <w:r>
              <w:t>37</w:t>
            </w:r>
          </w:p>
        </w:tc>
        <w:tc>
          <w:tcPr>
            <w:tcW w:w="1134" w:type="dxa"/>
            <w:tcBorders>
              <w:top w:val="single" w:sz="6" w:space="0" w:color="auto"/>
              <w:left w:val="single" w:sz="6" w:space="0" w:color="auto"/>
              <w:bottom w:val="single" w:sz="6" w:space="0" w:color="auto"/>
              <w:right w:val="single" w:sz="6" w:space="0" w:color="auto"/>
            </w:tcBorders>
          </w:tcPr>
          <w:p w:rsidR="00C33EE6" w:rsidRDefault="00586869">
            <w:pPr>
              <w:jc w:val="center"/>
            </w:pPr>
            <w:r>
              <w:rPr>
                <w:u w:val="single"/>
              </w:rPr>
              <w:t>105</w:t>
            </w:r>
          </w:p>
          <w:p w:rsidR="00C33EE6" w:rsidRDefault="00586869">
            <w:pPr>
              <w:jc w:val="center"/>
            </w:pPr>
            <w:r>
              <w:t>26</w:t>
            </w:r>
          </w:p>
        </w:tc>
      </w:tr>
      <w:tr w:rsidR="00C33EE6" w:rsidTr="00A8592F">
        <w:trPr>
          <w:jc w:val="center"/>
        </w:trPr>
        <w:tc>
          <w:tcPr>
            <w:tcW w:w="1264" w:type="dxa"/>
            <w:tcBorders>
              <w:top w:val="single" w:sz="6" w:space="0" w:color="auto"/>
              <w:left w:val="single" w:sz="6" w:space="0" w:color="auto"/>
              <w:bottom w:val="single" w:sz="6" w:space="0" w:color="auto"/>
              <w:right w:val="single" w:sz="6" w:space="0" w:color="auto"/>
            </w:tcBorders>
          </w:tcPr>
          <w:p w:rsidR="00C33EE6" w:rsidRDefault="00586869">
            <w:pPr>
              <w:jc w:val="center"/>
            </w:pPr>
            <w:r>
              <w:t>300</w:t>
            </w:r>
          </w:p>
        </w:tc>
        <w:tc>
          <w:tcPr>
            <w:tcW w:w="1006" w:type="dxa"/>
            <w:tcBorders>
              <w:top w:val="single" w:sz="6" w:space="0" w:color="auto"/>
              <w:left w:val="single" w:sz="6" w:space="0" w:color="auto"/>
              <w:bottom w:val="single" w:sz="6" w:space="0" w:color="auto"/>
              <w:right w:val="single" w:sz="6" w:space="0" w:color="auto"/>
            </w:tcBorders>
          </w:tcPr>
          <w:p w:rsidR="00C33EE6" w:rsidRDefault="00586869">
            <w:pPr>
              <w:jc w:val="center"/>
            </w:pPr>
            <w:r>
              <w:t>1350</w:t>
            </w:r>
          </w:p>
        </w:tc>
        <w:tc>
          <w:tcPr>
            <w:tcW w:w="1006" w:type="dxa"/>
            <w:tcBorders>
              <w:top w:val="single" w:sz="6" w:space="0" w:color="auto"/>
              <w:left w:val="single" w:sz="6" w:space="0" w:color="auto"/>
              <w:bottom w:val="single" w:sz="6" w:space="0" w:color="auto"/>
              <w:right w:val="single" w:sz="6" w:space="0" w:color="auto"/>
            </w:tcBorders>
          </w:tcPr>
          <w:p w:rsidR="00C33EE6" w:rsidRDefault="00586869">
            <w:pPr>
              <w:jc w:val="center"/>
            </w:pPr>
            <w:r>
              <w:t>21</w:t>
            </w:r>
          </w:p>
        </w:tc>
        <w:tc>
          <w:tcPr>
            <w:tcW w:w="1006" w:type="dxa"/>
            <w:tcBorders>
              <w:top w:val="single" w:sz="6" w:space="0" w:color="auto"/>
              <w:left w:val="single" w:sz="6" w:space="0" w:color="auto"/>
              <w:bottom w:val="single" w:sz="6" w:space="0" w:color="auto"/>
              <w:right w:val="single" w:sz="6" w:space="0" w:color="auto"/>
            </w:tcBorders>
          </w:tcPr>
          <w:p w:rsidR="00C33EE6" w:rsidRDefault="00586869">
            <w:pPr>
              <w:jc w:val="center"/>
            </w:pPr>
            <w:r>
              <w:t>3240</w:t>
            </w:r>
          </w:p>
        </w:tc>
        <w:tc>
          <w:tcPr>
            <w:tcW w:w="1518" w:type="dxa"/>
            <w:tcBorders>
              <w:top w:val="single" w:sz="6" w:space="0" w:color="auto"/>
              <w:left w:val="single" w:sz="6" w:space="0" w:color="auto"/>
              <w:bottom w:val="single" w:sz="6" w:space="0" w:color="auto"/>
              <w:right w:val="single" w:sz="6" w:space="0" w:color="auto"/>
            </w:tcBorders>
          </w:tcPr>
          <w:p w:rsidR="00C33EE6" w:rsidRDefault="00586869">
            <w:pPr>
              <w:jc w:val="center"/>
            </w:pPr>
            <w:r>
              <w:rPr>
                <w:u w:val="single"/>
              </w:rPr>
              <w:t>91</w:t>
            </w:r>
          </w:p>
          <w:p w:rsidR="00C33EE6" w:rsidRDefault="00586869">
            <w:pPr>
              <w:jc w:val="center"/>
            </w:pPr>
            <w:r>
              <w:t>45</w:t>
            </w:r>
          </w:p>
        </w:tc>
        <w:tc>
          <w:tcPr>
            <w:tcW w:w="1134" w:type="dxa"/>
            <w:tcBorders>
              <w:top w:val="single" w:sz="6" w:space="0" w:color="auto"/>
              <w:left w:val="single" w:sz="6" w:space="0" w:color="auto"/>
              <w:bottom w:val="single" w:sz="6" w:space="0" w:color="auto"/>
              <w:right w:val="single" w:sz="6" w:space="0" w:color="auto"/>
            </w:tcBorders>
          </w:tcPr>
          <w:p w:rsidR="00C33EE6" w:rsidRDefault="00586869">
            <w:pPr>
              <w:jc w:val="center"/>
            </w:pPr>
            <w:r>
              <w:rPr>
                <w:u w:val="single"/>
              </w:rPr>
              <w:t>128</w:t>
            </w:r>
          </w:p>
          <w:p w:rsidR="00C33EE6" w:rsidRDefault="00586869">
            <w:pPr>
              <w:jc w:val="center"/>
            </w:pPr>
            <w:r>
              <w:t>32</w:t>
            </w:r>
          </w:p>
        </w:tc>
      </w:tr>
      <w:tr w:rsidR="00C33EE6" w:rsidTr="00A8592F">
        <w:trPr>
          <w:jc w:val="center"/>
        </w:trPr>
        <w:tc>
          <w:tcPr>
            <w:tcW w:w="1264" w:type="dxa"/>
            <w:tcBorders>
              <w:top w:val="single" w:sz="6" w:space="0" w:color="auto"/>
              <w:left w:val="single" w:sz="6" w:space="0" w:color="auto"/>
              <w:bottom w:val="single" w:sz="6" w:space="0" w:color="auto"/>
              <w:right w:val="single" w:sz="6" w:space="0" w:color="auto"/>
            </w:tcBorders>
          </w:tcPr>
          <w:p w:rsidR="00C33EE6" w:rsidRDefault="00586869">
            <w:pPr>
              <w:jc w:val="center"/>
            </w:pPr>
            <w:r>
              <w:t>400</w:t>
            </w:r>
          </w:p>
        </w:tc>
        <w:tc>
          <w:tcPr>
            <w:tcW w:w="1006" w:type="dxa"/>
            <w:tcBorders>
              <w:top w:val="single" w:sz="6" w:space="0" w:color="auto"/>
              <w:left w:val="single" w:sz="6" w:space="0" w:color="auto"/>
              <w:bottom w:val="single" w:sz="6" w:space="0" w:color="auto"/>
              <w:right w:val="single" w:sz="6" w:space="0" w:color="auto"/>
            </w:tcBorders>
          </w:tcPr>
          <w:p w:rsidR="00C33EE6" w:rsidRDefault="00586869">
            <w:pPr>
              <w:jc w:val="center"/>
            </w:pPr>
            <w:r>
              <w:t>1800</w:t>
            </w:r>
          </w:p>
        </w:tc>
        <w:tc>
          <w:tcPr>
            <w:tcW w:w="1006" w:type="dxa"/>
            <w:tcBorders>
              <w:top w:val="single" w:sz="6" w:space="0" w:color="auto"/>
              <w:left w:val="single" w:sz="6" w:space="0" w:color="auto"/>
              <w:bottom w:val="single" w:sz="6" w:space="0" w:color="auto"/>
              <w:right w:val="single" w:sz="6" w:space="0" w:color="auto"/>
            </w:tcBorders>
          </w:tcPr>
          <w:p w:rsidR="00C33EE6" w:rsidRDefault="00586869">
            <w:pPr>
              <w:jc w:val="center"/>
            </w:pPr>
            <w:r>
              <w:t>24</w:t>
            </w:r>
          </w:p>
        </w:tc>
        <w:tc>
          <w:tcPr>
            <w:tcW w:w="1006" w:type="dxa"/>
            <w:tcBorders>
              <w:top w:val="single" w:sz="6" w:space="0" w:color="auto"/>
              <w:left w:val="single" w:sz="6" w:space="0" w:color="auto"/>
              <w:bottom w:val="single" w:sz="6" w:space="0" w:color="auto"/>
              <w:right w:val="single" w:sz="6" w:space="0" w:color="auto"/>
            </w:tcBorders>
          </w:tcPr>
          <w:p w:rsidR="00C33EE6" w:rsidRDefault="00586869">
            <w:pPr>
              <w:jc w:val="center"/>
            </w:pPr>
            <w:r>
              <w:t>4320</w:t>
            </w:r>
          </w:p>
        </w:tc>
        <w:tc>
          <w:tcPr>
            <w:tcW w:w="1518" w:type="dxa"/>
            <w:tcBorders>
              <w:top w:val="single" w:sz="6" w:space="0" w:color="auto"/>
              <w:left w:val="single" w:sz="6" w:space="0" w:color="auto"/>
              <w:bottom w:val="single" w:sz="6" w:space="0" w:color="auto"/>
              <w:right w:val="single" w:sz="6" w:space="0" w:color="auto"/>
            </w:tcBorders>
          </w:tcPr>
          <w:p w:rsidR="00C33EE6" w:rsidRDefault="00586869">
            <w:pPr>
              <w:jc w:val="center"/>
            </w:pPr>
            <w:r>
              <w:rPr>
                <w:u w:val="single"/>
              </w:rPr>
              <w:t>105</w:t>
            </w:r>
          </w:p>
          <w:p w:rsidR="00C33EE6" w:rsidRDefault="00586869">
            <w:pPr>
              <w:jc w:val="center"/>
            </w:pPr>
            <w:r>
              <w:t>52</w:t>
            </w:r>
          </w:p>
        </w:tc>
        <w:tc>
          <w:tcPr>
            <w:tcW w:w="1134" w:type="dxa"/>
            <w:tcBorders>
              <w:top w:val="single" w:sz="6" w:space="0" w:color="auto"/>
              <w:left w:val="single" w:sz="6" w:space="0" w:color="auto"/>
              <w:bottom w:val="single" w:sz="6" w:space="0" w:color="auto"/>
              <w:right w:val="single" w:sz="6" w:space="0" w:color="auto"/>
            </w:tcBorders>
          </w:tcPr>
          <w:p w:rsidR="00C33EE6" w:rsidRDefault="00586869">
            <w:pPr>
              <w:jc w:val="center"/>
            </w:pPr>
            <w:r>
              <w:rPr>
                <w:u w:val="single"/>
              </w:rPr>
              <w:t>148</w:t>
            </w:r>
          </w:p>
          <w:p w:rsidR="00C33EE6" w:rsidRDefault="00586869">
            <w:pPr>
              <w:jc w:val="center"/>
            </w:pPr>
            <w:r>
              <w:t>37</w:t>
            </w:r>
          </w:p>
        </w:tc>
      </w:tr>
      <w:tr w:rsidR="00C33EE6" w:rsidTr="00A8592F">
        <w:trPr>
          <w:jc w:val="center"/>
        </w:trPr>
        <w:tc>
          <w:tcPr>
            <w:tcW w:w="1264" w:type="dxa"/>
            <w:tcBorders>
              <w:top w:val="single" w:sz="6" w:space="0" w:color="auto"/>
              <w:left w:val="single" w:sz="6" w:space="0" w:color="auto"/>
              <w:bottom w:val="single" w:sz="6" w:space="0" w:color="auto"/>
              <w:right w:val="single" w:sz="6" w:space="0" w:color="auto"/>
            </w:tcBorders>
          </w:tcPr>
          <w:p w:rsidR="00C33EE6" w:rsidRDefault="00586869">
            <w:pPr>
              <w:jc w:val="center"/>
            </w:pPr>
            <w:r>
              <w:t>700</w:t>
            </w:r>
          </w:p>
        </w:tc>
        <w:tc>
          <w:tcPr>
            <w:tcW w:w="1006" w:type="dxa"/>
            <w:tcBorders>
              <w:top w:val="single" w:sz="6" w:space="0" w:color="auto"/>
              <w:left w:val="single" w:sz="6" w:space="0" w:color="auto"/>
              <w:bottom w:val="single" w:sz="6" w:space="0" w:color="auto"/>
              <w:right w:val="single" w:sz="6" w:space="0" w:color="auto"/>
            </w:tcBorders>
          </w:tcPr>
          <w:p w:rsidR="00C33EE6" w:rsidRDefault="00586869">
            <w:pPr>
              <w:jc w:val="center"/>
              <w:rPr>
                <w:lang w:val="en-US"/>
              </w:rPr>
            </w:pPr>
            <w:r>
              <w:rPr>
                <w:lang w:val="en-US"/>
              </w:rPr>
              <w:t>315</w:t>
            </w:r>
            <w:r>
              <w:t>0</w:t>
            </w:r>
          </w:p>
        </w:tc>
        <w:tc>
          <w:tcPr>
            <w:tcW w:w="1006" w:type="dxa"/>
            <w:tcBorders>
              <w:top w:val="single" w:sz="6" w:space="0" w:color="auto"/>
              <w:left w:val="single" w:sz="6" w:space="0" w:color="auto"/>
              <w:bottom w:val="single" w:sz="6" w:space="0" w:color="auto"/>
              <w:right w:val="single" w:sz="6" w:space="0" w:color="auto"/>
            </w:tcBorders>
          </w:tcPr>
          <w:p w:rsidR="00C33EE6" w:rsidRDefault="00586869">
            <w:pPr>
              <w:jc w:val="center"/>
            </w:pPr>
            <w:r>
              <w:t>32</w:t>
            </w:r>
          </w:p>
        </w:tc>
        <w:tc>
          <w:tcPr>
            <w:tcW w:w="1006" w:type="dxa"/>
            <w:tcBorders>
              <w:top w:val="single" w:sz="6" w:space="0" w:color="auto"/>
              <w:left w:val="single" w:sz="6" w:space="0" w:color="auto"/>
              <w:bottom w:val="single" w:sz="6" w:space="0" w:color="auto"/>
              <w:right w:val="single" w:sz="6" w:space="0" w:color="auto"/>
            </w:tcBorders>
          </w:tcPr>
          <w:p w:rsidR="00C33EE6" w:rsidRDefault="00586869">
            <w:pPr>
              <w:jc w:val="center"/>
            </w:pPr>
            <w:r>
              <w:t>7560</w:t>
            </w:r>
          </w:p>
        </w:tc>
        <w:tc>
          <w:tcPr>
            <w:tcW w:w="1518" w:type="dxa"/>
            <w:tcBorders>
              <w:top w:val="single" w:sz="6" w:space="0" w:color="auto"/>
              <w:left w:val="single" w:sz="6" w:space="0" w:color="auto"/>
              <w:bottom w:val="single" w:sz="6" w:space="0" w:color="auto"/>
              <w:right w:val="single" w:sz="6" w:space="0" w:color="auto"/>
            </w:tcBorders>
          </w:tcPr>
          <w:p w:rsidR="00C33EE6" w:rsidRDefault="00586869">
            <w:pPr>
              <w:jc w:val="center"/>
            </w:pPr>
            <w:r>
              <w:rPr>
                <w:u w:val="single"/>
              </w:rPr>
              <w:t>139</w:t>
            </w:r>
          </w:p>
          <w:p w:rsidR="00C33EE6" w:rsidRDefault="00586869">
            <w:pPr>
              <w:jc w:val="center"/>
            </w:pPr>
            <w:r>
              <w:t>70</w:t>
            </w:r>
          </w:p>
        </w:tc>
        <w:tc>
          <w:tcPr>
            <w:tcW w:w="1134" w:type="dxa"/>
            <w:tcBorders>
              <w:top w:val="single" w:sz="6" w:space="0" w:color="auto"/>
              <w:left w:val="single" w:sz="6" w:space="0" w:color="auto"/>
              <w:bottom w:val="single" w:sz="6" w:space="0" w:color="auto"/>
              <w:right w:val="single" w:sz="6" w:space="0" w:color="auto"/>
            </w:tcBorders>
          </w:tcPr>
          <w:p w:rsidR="00C33EE6" w:rsidRDefault="00586869">
            <w:pPr>
              <w:jc w:val="center"/>
            </w:pPr>
            <w:r>
              <w:rPr>
                <w:u w:val="single"/>
              </w:rPr>
              <w:t>196</w:t>
            </w:r>
          </w:p>
          <w:p w:rsidR="00C33EE6" w:rsidRDefault="00586869">
            <w:pPr>
              <w:jc w:val="center"/>
            </w:pPr>
            <w:r>
              <w:t>49</w:t>
            </w:r>
          </w:p>
        </w:tc>
      </w:tr>
      <w:tr w:rsidR="00C33EE6" w:rsidTr="00A8592F">
        <w:trPr>
          <w:jc w:val="center"/>
        </w:trPr>
        <w:tc>
          <w:tcPr>
            <w:tcW w:w="1264" w:type="dxa"/>
            <w:tcBorders>
              <w:top w:val="single" w:sz="6" w:space="0" w:color="auto"/>
              <w:left w:val="single" w:sz="6" w:space="0" w:color="auto"/>
              <w:bottom w:val="single" w:sz="6" w:space="0" w:color="auto"/>
              <w:right w:val="single" w:sz="6" w:space="0" w:color="auto"/>
            </w:tcBorders>
          </w:tcPr>
          <w:p w:rsidR="00C33EE6" w:rsidRDefault="00586869">
            <w:pPr>
              <w:jc w:val="center"/>
            </w:pPr>
            <w:r>
              <w:t>1000</w:t>
            </w:r>
          </w:p>
        </w:tc>
        <w:tc>
          <w:tcPr>
            <w:tcW w:w="1006" w:type="dxa"/>
            <w:tcBorders>
              <w:top w:val="single" w:sz="6" w:space="0" w:color="auto"/>
              <w:left w:val="single" w:sz="6" w:space="0" w:color="auto"/>
              <w:bottom w:val="single" w:sz="6" w:space="0" w:color="auto"/>
              <w:right w:val="single" w:sz="6" w:space="0" w:color="auto"/>
            </w:tcBorders>
          </w:tcPr>
          <w:p w:rsidR="00C33EE6" w:rsidRDefault="00586869">
            <w:pPr>
              <w:jc w:val="center"/>
            </w:pPr>
            <w:r>
              <w:t>4500</w:t>
            </w:r>
          </w:p>
        </w:tc>
        <w:tc>
          <w:tcPr>
            <w:tcW w:w="1006" w:type="dxa"/>
            <w:tcBorders>
              <w:top w:val="single" w:sz="6" w:space="0" w:color="auto"/>
              <w:left w:val="single" w:sz="6" w:space="0" w:color="auto"/>
              <w:bottom w:val="single" w:sz="6" w:space="0" w:color="auto"/>
              <w:right w:val="single" w:sz="6" w:space="0" w:color="auto"/>
            </w:tcBorders>
          </w:tcPr>
          <w:p w:rsidR="00C33EE6" w:rsidRDefault="00586869">
            <w:pPr>
              <w:jc w:val="center"/>
            </w:pPr>
            <w:r>
              <w:t>38</w:t>
            </w:r>
          </w:p>
        </w:tc>
        <w:tc>
          <w:tcPr>
            <w:tcW w:w="1006" w:type="dxa"/>
            <w:tcBorders>
              <w:top w:val="single" w:sz="6" w:space="0" w:color="auto"/>
              <w:left w:val="single" w:sz="6" w:space="0" w:color="auto"/>
              <w:bottom w:val="single" w:sz="6" w:space="0" w:color="auto"/>
              <w:right w:val="single" w:sz="6" w:space="0" w:color="auto"/>
            </w:tcBorders>
          </w:tcPr>
          <w:p w:rsidR="00C33EE6" w:rsidRDefault="00586869">
            <w:pPr>
              <w:jc w:val="center"/>
            </w:pPr>
            <w:r>
              <w:t>10800</w:t>
            </w:r>
          </w:p>
        </w:tc>
        <w:tc>
          <w:tcPr>
            <w:tcW w:w="1518" w:type="dxa"/>
            <w:tcBorders>
              <w:top w:val="single" w:sz="6" w:space="0" w:color="auto"/>
              <w:left w:val="single" w:sz="6" w:space="0" w:color="auto"/>
              <w:bottom w:val="single" w:sz="6" w:space="0" w:color="auto"/>
              <w:right w:val="single" w:sz="6" w:space="0" w:color="auto"/>
            </w:tcBorders>
          </w:tcPr>
          <w:p w:rsidR="00C33EE6" w:rsidRDefault="00586869">
            <w:pPr>
              <w:jc w:val="center"/>
            </w:pPr>
            <w:r>
              <w:rPr>
                <w:u w:val="single"/>
              </w:rPr>
              <w:t>166</w:t>
            </w:r>
          </w:p>
          <w:p w:rsidR="00C33EE6" w:rsidRDefault="00586869">
            <w:pPr>
              <w:jc w:val="center"/>
            </w:pPr>
            <w:r>
              <w:t>83</w:t>
            </w:r>
          </w:p>
        </w:tc>
        <w:tc>
          <w:tcPr>
            <w:tcW w:w="1134" w:type="dxa"/>
            <w:tcBorders>
              <w:top w:val="single" w:sz="6" w:space="0" w:color="auto"/>
              <w:left w:val="single" w:sz="6" w:space="0" w:color="auto"/>
              <w:bottom w:val="single" w:sz="6" w:space="0" w:color="auto"/>
              <w:right w:val="single" w:sz="6" w:space="0" w:color="auto"/>
            </w:tcBorders>
          </w:tcPr>
          <w:p w:rsidR="00C33EE6" w:rsidRDefault="00586869">
            <w:pPr>
              <w:jc w:val="center"/>
            </w:pPr>
            <w:r>
              <w:rPr>
                <w:u w:val="single"/>
              </w:rPr>
              <w:t>235</w:t>
            </w:r>
          </w:p>
          <w:p w:rsidR="00C33EE6" w:rsidRDefault="00586869">
            <w:pPr>
              <w:jc w:val="center"/>
            </w:pPr>
            <w:r>
              <w:t>59</w:t>
            </w:r>
          </w:p>
        </w:tc>
      </w:tr>
      <w:tr w:rsidR="00C33EE6" w:rsidTr="00A8592F">
        <w:trPr>
          <w:jc w:val="center"/>
        </w:trPr>
        <w:tc>
          <w:tcPr>
            <w:tcW w:w="1264" w:type="dxa"/>
            <w:tcBorders>
              <w:top w:val="single" w:sz="6" w:space="0" w:color="auto"/>
              <w:left w:val="single" w:sz="6" w:space="0" w:color="auto"/>
              <w:bottom w:val="single" w:sz="6" w:space="0" w:color="auto"/>
              <w:right w:val="single" w:sz="6" w:space="0" w:color="auto"/>
            </w:tcBorders>
          </w:tcPr>
          <w:p w:rsidR="00C33EE6" w:rsidRDefault="00586869">
            <w:pPr>
              <w:jc w:val="center"/>
            </w:pPr>
            <w:r>
              <w:t>2000</w:t>
            </w:r>
          </w:p>
        </w:tc>
        <w:tc>
          <w:tcPr>
            <w:tcW w:w="1006" w:type="dxa"/>
            <w:tcBorders>
              <w:top w:val="single" w:sz="6" w:space="0" w:color="auto"/>
              <w:left w:val="single" w:sz="6" w:space="0" w:color="auto"/>
              <w:bottom w:val="single" w:sz="6" w:space="0" w:color="auto"/>
              <w:right w:val="single" w:sz="6" w:space="0" w:color="auto"/>
            </w:tcBorders>
          </w:tcPr>
          <w:p w:rsidR="00C33EE6" w:rsidRDefault="00586869">
            <w:pPr>
              <w:jc w:val="center"/>
            </w:pPr>
            <w:r>
              <w:t>9000</w:t>
            </w:r>
          </w:p>
        </w:tc>
        <w:tc>
          <w:tcPr>
            <w:tcW w:w="1006" w:type="dxa"/>
            <w:tcBorders>
              <w:top w:val="single" w:sz="6" w:space="0" w:color="auto"/>
              <w:left w:val="single" w:sz="6" w:space="0" w:color="auto"/>
              <w:bottom w:val="single" w:sz="6" w:space="0" w:color="auto"/>
              <w:right w:val="single" w:sz="6" w:space="0" w:color="auto"/>
            </w:tcBorders>
          </w:tcPr>
          <w:p w:rsidR="00C33EE6" w:rsidRDefault="00586869">
            <w:pPr>
              <w:jc w:val="center"/>
            </w:pPr>
            <w:r>
              <w:t>54</w:t>
            </w:r>
          </w:p>
        </w:tc>
        <w:tc>
          <w:tcPr>
            <w:tcW w:w="1006" w:type="dxa"/>
            <w:tcBorders>
              <w:top w:val="single" w:sz="6" w:space="0" w:color="auto"/>
              <w:left w:val="single" w:sz="6" w:space="0" w:color="auto"/>
              <w:bottom w:val="single" w:sz="6" w:space="0" w:color="auto"/>
              <w:right w:val="single" w:sz="6" w:space="0" w:color="auto"/>
            </w:tcBorders>
          </w:tcPr>
          <w:p w:rsidR="00C33EE6" w:rsidRDefault="00586869">
            <w:pPr>
              <w:jc w:val="center"/>
            </w:pPr>
            <w:r>
              <w:t>21600</w:t>
            </w:r>
          </w:p>
        </w:tc>
        <w:tc>
          <w:tcPr>
            <w:tcW w:w="1518" w:type="dxa"/>
            <w:tcBorders>
              <w:top w:val="single" w:sz="6" w:space="0" w:color="auto"/>
              <w:left w:val="single" w:sz="6" w:space="0" w:color="auto"/>
              <w:bottom w:val="single" w:sz="6" w:space="0" w:color="auto"/>
              <w:right w:val="single" w:sz="6" w:space="0" w:color="auto"/>
            </w:tcBorders>
          </w:tcPr>
          <w:p w:rsidR="00C33EE6" w:rsidRDefault="00586869">
            <w:pPr>
              <w:jc w:val="center"/>
              <w:rPr>
                <w:u w:val="single"/>
              </w:rPr>
            </w:pPr>
            <w:r>
              <w:rPr>
                <w:u w:val="single"/>
              </w:rPr>
              <w:t>234</w:t>
            </w:r>
          </w:p>
          <w:p w:rsidR="00C33EE6" w:rsidRDefault="00586869">
            <w:pPr>
              <w:jc w:val="center"/>
            </w:pPr>
            <w:r>
              <w:t>117</w:t>
            </w:r>
          </w:p>
        </w:tc>
        <w:tc>
          <w:tcPr>
            <w:tcW w:w="1134" w:type="dxa"/>
            <w:tcBorders>
              <w:top w:val="single" w:sz="6" w:space="0" w:color="auto"/>
              <w:left w:val="single" w:sz="6" w:space="0" w:color="auto"/>
              <w:bottom w:val="single" w:sz="6" w:space="0" w:color="auto"/>
              <w:right w:val="single" w:sz="6" w:space="0" w:color="auto"/>
            </w:tcBorders>
          </w:tcPr>
          <w:p w:rsidR="00C33EE6" w:rsidRDefault="00586869">
            <w:pPr>
              <w:jc w:val="center"/>
            </w:pPr>
            <w:r>
              <w:rPr>
                <w:u w:val="single"/>
              </w:rPr>
              <w:t>331</w:t>
            </w:r>
          </w:p>
          <w:p w:rsidR="00C33EE6" w:rsidRDefault="00586869">
            <w:pPr>
              <w:jc w:val="center"/>
            </w:pPr>
            <w:r>
              <w:t>83</w:t>
            </w:r>
          </w:p>
        </w:tc>
      </w:tr>
      <w:tr w:rsidR="00C33EE6" w:rsidTr="00A8592F">
        <w:trPr>
          <w:jc w:val="center"/>
        </w:trPr>
        <w:tc>
          <w:tcPr>
            <w:tcW w:w="1264" w:type="dxa"/>
            <w:tcBorders>
              <w:top w:val="single" w:sz="6" w:space="0" w:color="auto"/>
              <w:left w:val="single" w:sz="6" w:space="0" w:color="auto"/>
              <w:bottom w:val="single" w:sz="6" w:space="0" w:color="auto"/>
              <w:right w:val="single" w:sz="6" w:space="0" w:color="auto"/>
            </w:tcBorders>
          </w:tcPr>
          <w:p w:rsidR="00C33EE6" w:rsidRDefault="00586869">
            <w:pPr>
              <w:jc w:val="center"/>
            </w:pPr>
            <w:r>
              <w:t>3000</w:t>
            </w:r>
          </w:p>
        </w:tc>
        <w:tc>
          <w:tcPr>
            <w:tcW w:w="1006" w:type="dxa"/>
            <w:tcBorders>
              <w:top w:val="single" w:sz="6" w:space="0" w:color="auto"/>
              <w:left w:val="single" w:sz="6" w:space="0" w:color="auto"/>
              <w:bottom w:val="single" w:sz="6" w:space="0" w:color="auto"/>
              <w:right w:val="single" w:sz="6" w:space="0" w:color="auto"/>
            </w:tcBorders>
          </w:tcPr>
          <w:p w:rsidR="00C33EE6" w:rsidRDefault="00586869">
            <w:pPr>
              <w:jc w:val="center"/>
            </w:pPr>
            <w:r>
              <w:t>13500</w:t>
            </w:r>
          </w:p>
        </w:tc>
        <w:tc>
          <w:tcPr>
            <w:tcW w:w="1006" w:type="dxa"/>
            <w:tcBorders>
              <w:top w:val="single" w:sz="6" w:space="0" w:color="auto"/>
              <w:left w:val="single" w:sz="6" w:space="0" w:color="auto"/>
              <w:bottom w:val="single" w:sz="6" w:space="0" w:color="auto"/>
              <w:right w:val="single" w:sz="6" w:space="0" w:color="auto"/>
            </w:tcBorders>
          </w:tcPr>
          <w:p w:rsidR="00C33EE6" w:rsidRDefault="00586869">
            <w:pPr>
              <w:jc w:val="center"/>
            </w:pPr>
            <w:r>
              <w:t>66</w:t>
            </w:r>
          </w:p>
        </w:tc>
        <w:tc>
          <w:tcPr>
            <w:tcW w:w="1006" w:type="dxa"/>
            <w:tcBorders>
              <w:top w:val="single" w:sz="6" w:space="0" w:color="auto"/>
              <w:left w:val="single" w:sz="6" w:space="0" w:color="auto"/>
              <w:bottom w:val="single" w:sz="6" w:space="0" w:color="auto"/>
              <w:right w:val="single" w:sz="6" w:space="0" w:color="auto"/>
            </w:tcBorders>
          </w:tcPr>
          <w:p w:rsidR="00C33EE6" w:rsidRDefault="00586869">
            <w:pPr>
              <w:jc w:val="center"/>
            </w:pPr>
            <w:r>
              <w:t>32400</w:t>
            </w:r>
          </w:p>
        </w:tc>
        <w:tc>
          <w:tcPr>
            <w:tcW w:w="1518" w:type="dxa"/>
            <w:tcBorders>
              <w:top w:val="single" w:sz="6" w:space="0" w:color="auto"/>
              <w:left w:val="single" w:sz="6" w:space="0" w:color="auto"/>
              <w:bottom w:val="single" w:sz="6" w:space="0" w:color="auto"/>
              <w:right w:val="single" w:sz="6" w:space="0" w:color="auto"/>
            </w:tcBorders>
          </w:tcPr>
          <w:p w:rsidR="00C33EE6" w:rsidRDefault="00586869">
            <w:pPr>
              <w:jc w:val="center"/>
            </w:pPr>
            <w:r>
              <w:rPr>
                <w:u w:val="single"/>
              </w:rPr>
              <w:t>287</w:t>
            </w:r>
          </w:p>
          <w:p w:rsidR="00C33EE6" w:rsidRDefault="00586869">
            <w:pPr>
              <w:jc w:val="center"/>
            </w:pPr>
            <w:r>
              <w:t>144</w:t>
            </w:r>
          </w:p>
        </w:tc>
        <w:tc>
          <w:tcPr>
            <w:tcW w:w="1134" w:type="dxa"/>
            <w:tcBorders>
              <w:top w:val="single" w:sz="6" w:space="0" w:color="auto"/>
              <w:left w:val="single" w:sz="6" w:space="0" w:color="auto"/>
              <w:bottom w:val="single" w:sz="6" w:space="0" w:color="auto"/>
              <w:right w:val="single" w:sz="6" w:space="0" w:color="auto"/>
            </w:tcBorders>
          </w:tcPr>
          <w:p w:rsidR="00C33EE6" w:rsidRDefault="00586869">
            <w:pPr>
              <w:jc w:val="center"/>
            </w:pPr>
            <w:r>
              <w:rPr>
                <w:u w:val="single"/>
              </w:rPr>
              <w:t>406</w:t>
            </w:r>
          </w:p>
          <w:p w:rsidR="00C33EE6" w:rsidRDefault="00586869">
            <w:pPr>
              <w:jc w:val="center"/>
            </w:pPr>
            <w:r>
              <w:t>101</w:t>
            </w:r>
          </w:p>
        </w:tc>
      </w:tr>
      <w:tr w:rsidR="00C33EE6" w:rsidTr="00A8592F">
        <w:trPr>
          <w:jc w:val="center"/>
        </w:trPr>
        <w:tc>
          <w:tcPr>
            <w:tcW w:w="1264" w:type="dxa"/>
            <w:tcBorders>
              <w:top w:val="single" w:sz="6" w:space="0" w:color="auto"/>
              <w:left w:val="single" w:sz="6" w:space="0" w:color="auto"/>
              <w:bottom w:val="single" w:sz="6" w:space="0" w:color="auto"/>
              <w:right w:val="single" w:sz="6" w:space="0" w:color="auto"/>
            </w:tcBorders>
          </w:tcPr>
          <w:p w:rsidR="00C33EE6" w:rsidRDefault="00586869">
            <w:pPr>
              <w:jc w:val="center"/>
            </w:pPr>
            <w:r>
              <w:t>5000</w:t>
            </w:r>
          </w:p>
        </w:tc>
        <w:tc>
          <w:tcPr>
            <w:tcW w:w="1006" w:type="dxa"/>
            <w:tcBorders>
              <w:top w:val="single" w:sz="6" w:space="0" w:color="auto"/>
              <w:left w:val="single" w:sz="6" w:space="0" w:color="auto"/>
              <w:bottom w:val="single" w:sz="6" w:space="0" w:color="auto"/>
              <w:right w:val="single" w:sz="6" w:space="0" w:color="auto"/>
            </w:tcBorders>
          </w:tcPr>
          <w:p w:rsidR="00C33EE6" w:rsidRDefault="00586869">
            <w:pPr>
              <w:jc w:val="center"/>
            </w:pPr>
            <w:r>
              <w:t>22500</w:t>
            </w:r>
          </w:p>
        </w:tc>
        <w:tc>
          <w:tcPr>
            <w:tcW w:w="1006" w:type="dxa"/>
            <w:tcBorders>
              <w:top w:val="single" w:sz="6" w:space="0" w:color="auto"/>
              <w:left w:val="single" w:sz="6" w:space="0" w:color="auto"/>
              <w:bottom w:val="single" w:sz="6" w:space="0" w:color="auto"/>
              <w:right w:val="single" w:sz="6" w:space="0" w:color="auto"/>
            </w:tcBorders>
          </w:tcPr>
          <w:p w:rsidR="00C33EE6" w:rsidRDefault="00586869">
            <w:pPr>
              <w:jc w:val="center"/>
            </w:pPr>
            <w:r>
              <w:t>85</w:t>
            </w:r>
          </w:p>
        </w:tc>
        <w:tc>
          <w:tcPr>
            <w:tcW w:w="1006" w:type="dxa"/>
            <w:tcBorders>
              <w:top w:val="single" w:sz="6" w:space="0" w:color="auto"/>
              <w:left w:val="single" w:sz="6" w:space="0" w:color="auto"/>
              <w:bottom w:val="single" w:sz="6" w:space="0" w:color="auto"/>
              <w:right w:val="single" w:sz="6" w:space="0" w:color="auto"/>
            </w:tcBorders>
          </w:tcPr>
          <w:p w:rsidR="00C33EE6" w:rsidRDefault="00586869">
            <w:pPr>
              <w:jc w:val="center"/>
            </w:pPr>
            <w:r>
              <w:t>54000</w:t>
            </w:r>
          </w:p>
        </w:tc>
        <w:tc>
          <w:tcPr>
            <w:tcW w:w="1518" w:type="dxa"/>
            <w:tcBorders>
              <w:top w:val="single" w:sz="6" w:space="0" w:color="auto"/>
              <w:left w:val="single" w:sz="6" w:space="0" w:color="auto"/>
              <w:bottom w:val="single" w:sz="6" w:space="0" w:color="auto"/>
              <w:right w:val="single" w:sz="6" w:space="0" w:color="auto"/>
            </w:tcBorders>
          </w:tcPr>
          <w:p w:rsidR="00C33EE6" w:rsidRDefault="00586869">
            <w:pPr>
              <w:jc w:val="center"/>
            </w:pPr>
            <w:r>
              <w:rPr>
                <w:u w:val="single"/>
              </w:rPr>
              <w:t>370</w:t>
            </w:r>
          </w:p>
          <w:p w:rsidR="00C33EE6" w:rsidRDefault="00586869">
            <w:pPr>
              <w:jc w:val="center"/>
            </w:pPr>
            <w:r>
              <w:t>185</w:t>
            </w:r>
          </w:p>
        </w:tc>
        <w:tc>
          <w:tcPr>
            <w:tcW w:w="1134" w:type="dxa"/>
            <w:tcBorders>
              <w:top w:val="single" w:sz="6" w:space="0" w:color="auto"/>
              <w:left w:val="single" w:sz="6" w:space="0" w:color="auto"/>
              <w:bottom w:val="single" w:sz="6" w:space="0" w:color="auto"/>
              <w:right w:val="single" w:sz="6" w:space="0" w:color="auto"/>
            </w:tcBorders>
          </w:tcPr>
          <w:p w:rsidR="00C33EE6" w:rsidRDefault="00586869">
            <w:pPr>
              <w:jc w:val="center"/>
            </w:pPr>
            <w:r>
              <w:rPr>
                <w:u w:val="single"/>
              </w:rPr>
              <w:t>523</w:t>
            </w:r>
          </w:p>
          <w:p w:rsidR="00C33EE6" w:rsidRDefault="00586869">
            <w:pPr>
              <w:jc w:val="center"/>
            </w:pPr>
            <w:r>
              <w:t>131</w:t>
            </w:r>
          </w:p>
        </w:tc>
      </w:tr>
      <w:tr w:rsidR="00C33EE6" w:rsidTr="00A8592F">
        <w:trPr>
          <w:jc w:val="center"/>
        </w:trPr>
        <w:tc>
          <w:tcPr>
            <w:tcW w:w="1264" w:type="dxa"/>
            <w:tcBorders>
              <w:top w:val="single" w:sz="6" w:space="0" w:color="auto"/>
              <w:left w:val="single" w:sz="6" w:space="0" w:color="auto"/>
              <w:bottom w:val="single" w:sz="6" w:space="0" w:color="auto"/>
              <w:right w:val="single" w:sz="6" w:space="0" w:color="auto"/>
            </w:tcBorders>
          </w:tcPr>
          <w:p w:rsidR="00C33EE6" w:rsidRDefault="00586869">
            <w:pPr>
              <w:jc w:val="center"/>
            </w:pPr>
            <w:r>
              <w:t>10000</w:t>
            </w:r>
          </w:p>
        </w:tc>
        <w:tc>
          <w:tcPr>
            <w:tcW w:w="1006" w:type="dxa"/>
            <w:tcBorders>
              <w:top w:val="single" w:sz="6" w:space="0" w:color="auto"/>
              <w:left w:val="single" w:sz="6" w:space="0" w:color="auto"/>
              <w:bottom w:val="single" w:sz="6" w:space="0" w:color="auto"/>
              <w:right w:val="single" w:sz="6" w:space="0" w:color="auto"/>
            </w:tcBorders>
          </w:tcPr>
          <w:p w:rsidR="00C33EE6" w:rsidRDefault="00586869">
            <w:pPr>
              <w:jc w:val="center"/>
            </w:pPr>
            <w:r>
              <w:t>45000</w:t>
            </w:r>
          </w:p>
        </w:tc>
        <w:tc>
          <w:tcPr>
            <w:tcW w:w="1006" w:type="dxa"/>
            <w:tcBorders>
              <w:top w:val="single" w:sz="6" w:space="0" w:color="auto"/>
              <w:left w:val="single" w:sz="6" w:space="0" w:color="auto"/>
              <w:bottom w:val="single" w:sz="6" w:space="0" w:color="auto"/>
              <w:right w:val="single" w:sz="6" w:space="0" w:color="auto"/>
            </w:tcBorders>
          </w:tcPr>
          <w:p w:rsidR="00C33EE6" w:rsidRDefault="00586869">
            <w:pPr>
              <w:jc w:val="center"/>
            </w:pPr>
            <w:r>
              <w:t>120</w:t>
            </w:r>
          </w:p>
        </w:tc>
        <w:tc>
          <w:tcPr>
            <w:tcW w:w="1006" w:type="dxa"/>
            <w:tcBorders>
              <w:top w:val="single" w:sz="6" w:space="0" w:color="auto"/>
              <w:left w:val="single" w:sz="6" w:space="0" w:color="auto"/>
              <w:bottom w:val="single" w:sz="6" w:space="0" w:color="auto"/>
              <w:right w:val="single" w:sz="6" w:space="0" w:color="auto"/>
            </w:tcBorders>
          </w:tcPr>
          <w:p w:rsidR="00C33EE6" w:rsidRDefault="00586869">
            <w:pPr>
              <w:jc w:val="center"/>
              <w:rPr>
                <w:lang w:val="en-US"/>
              </w:rPr>
            </w:pPr>
            <w:r>
              <w:t>108000</w:t>
            </w:r>
          </w:p>
        </w:tc>
        <w:tc>
          <w:tcPr>
            <w:tcW w:w="1518" w:type="dxa"/>
            <w:tcBorders>
              <w:top w:val="single" w:sz="6" w:space="0" w:color="auto"/>
              <w:left w:val="single" w:sz="6" w:space="0" w:color="auto"/>
              <w:bottom w:val="single" w:sz="6" w:space="0" w:color="auto"/>
              <w:right w:val="single" w:sz="6" w:space="0" w:color="auto"/>
            </w:tcBorders>
          </w:tcPr>
          <w:p w:rsidR="00C33EE6" w:rsidRDefault="00586869">
            <w:pPr>
              <w:jc w:val="center"/>
            </w:pPr>
            <w:r>
              <w:rPr>
                <w:u w:val="single"/>
              </w:rPr>
              <w:t>524</w:t>
            </w:r>
          </w:p>
          <w:p w:rsidR="00C33EE6" w:rsidRDefault="00586869">
            <w:pPr>
              <w:jc w:val="center"/>
            </w:pPr>
            <w:r>
              <w:t>262</w:t>
            </w:r>
          </w:p>
        </w:tc>
        <w:tc>
          <w:tcPr>
            <w:tcW w:w="1134" w:type="dxa"/>
            <w:tcBorders>
              <w:top w:val="single" w:sz="6" w:space="0" w:color="auto"/>
              <w:left w:val="single" w:sz="6" w:space="0" w:color="auto"/>
              <w:bottom w:val="single" w:sz="6" w:space="0" w:color="auto"/>
              <w:right w:val="single" w:sz="6" w:space="0" w:color="auto"/>
            </w:tcBorders>
          </w:tcPr>
          <w:p w:rsidR="00C33EE6" w:rsidRDefault="00586869">
            <w:pPr>
              <w:jc w:val="center"/>
            </w:pPr>
            <w:r>
              <w:rPr>
                <w:u w:val="single"/>
              </w:rPr>
              <w:t>741</w:t>
            </w:r>
          </w:p>
          <w:p w:rsidR="00C33EE6" w:rsidRDefault="00586869">
            <w:pPr>
              <w:jc w:val="center"/>
            </w:pPr>
            <w:r>
              <w:t>185</w:t>
            </w:r>
          </w:p>
        </w:tc>
      </w:tr>
    </w:tbl>
    <w:p w:rsidR="00C33EE6" w:rsidRDefault="00586869">
      <w:pPr>
        <w:spacing w:before="120" w:after="120"/>
        <w:ind w:firstLine="284"/>
        <w:jc w:val="both"/>
        <w:rPr>
          <w:b/>
        </w:rPr>
      </w:pPr>
      <w:r>
        <w:rPr>
          <w:b/>
          <w:u w:val="single"/>
        </w:rPr>
        <w:t>Методика</w:t>
      </w:r>
      <w:r>
        <w:rPr>
          <w:b/>
          <w:u w:val="single"/>
          <w:lang w:val="en-US"/>
        </w:rPr>
        <w:t xml:space="preserve"> </w:t>
      </w:r>
      <w:r>
        <w:rPr>
          <w:b/>
          <w:u w:val="single"/>
        </w:rPr>
        <w:t>№ 2.</w:t>
      </w:r>
      <w:r>
        <w:rPr>
          <w:b/>
        </w:rPr>
        <w:t xml:space="preserve"> Определение зоны взрывоопасных концентраций при испарении бензина с поверхности разлива</w:t>
      </w:r>
    </w:p>
    <w:p w:rsidR="00C33EE6" w:rsidRDefault="00586869">
      <w:pPr>
        <w:ind w:firstLine="284"/>
        <w:jc w:val="both"/>
      </w:pPr>
      <w:r>
        <w:t>Зоны взрывоопасных концентраций при испарении нефтепродукта с поверхности разлива приведены в табл. 2.1.</w:t>
      </w:r>
    </w:p>
    <w:p w:rsidR="00C33EE6" w:rsidRDefault="00586869">
      <w:pPr>
        <w:ind w:firstLine="284"/>
        <w:jc w:val="both"/>
      </w:pPr>
      <w:r>
        <w:t>По результатам определения составляется карта прогнозируемых зон взрывоопасных концентраций, которая представляет собой ситуационный план с нанесением расчетных зон загазованности.</w:t>
      </w:r>
    </w:p>
    <w:p w:rsidR="00C33EE6" w:rsidRDefault="00586869">
      <w:pPr>
        <w:ind w:firstLine="284"/>
        <w:jc w:val="both"/>
      </w:pPr>
      <w:r>
        <w:t>В текстовой части указывается возможное поражение людей и территории в случае мгновенного воспламенения зоны загазованности.</w:t>
      </w:r>
    </w:p>
    <w:p w:rsidR="00C33EE6" w:rsidRDefault="00586869">
      <w:pPr>
        <w:ind w:firstLine="284"/>
        <w:jc w:val="both"/>
      </w:pPr>
      <w:r>
        <w:t>Определение зон взрывоопасных концентраций (см. табл. 2.1) выполнено на основании проведенных и России</w:t>
      </w:r>
      <w:r>
        <w:rPr>
          <w:smallCaps/>
        </w:rPr>
        <w:t xml:space="preserve"> </w:t>
      </w:r>
      <w:r>
        <w:t xml:space="preserve">исследований по изучению закономерностей распределения </w:t>
      </w:r>
      <w:r>
        <w:lastRenderedPageBreak/>
        <w:t xml:space="preserve">концентраций взрывоопасных газов и паров на открытых территориях в Главной геофизической обсерватории. Расчетная формула, заимствованная из работы В. М. </w:t>
      </w:r>
      <w:proofErr w:type="spellStart"/>
      <w:r>
        <w:t>Эльтермана</w:t>
      </w:r>
      <w:proofErr w:type="spellEnd"/>
      <w:r>
        <w:t xml:space="preserve"> </w:t>
      </w:r>
      <w:r w:rsidR="00A8592F">
        <w:t>«</w:t>
      </w:r>
      <w:r>
        <w:t>Охрана воздушной среды на химических и нефтехимических предприятиях</w:t>
      </w:r>
      <w:r w:rsidR="00A8592F">
        <w:t>»</w:t>
      </w:r>
      <w:r>
        <w:t xml:space="preserve"> (М., Химия, 1985) имеет вид:</w:t>
      </w:r>
    </w:p>
    <w:p w:rsidR="00C33EE6" w:rsidRDefault="00AE624D">
      <w:pPr>
        <w:spacing w:before="120" w:after="120"/>
        <w:jc w:val="center"/>
        <w:rPr>
          <w:i/>
        </w:rPr>
      </w:pPr>
      <w:r>
        <w:rPr>
          <w:i/>
          <w:position w:val="-28"/>
        </w:rPr>
        <w:pict>
          <v:shape id="_x0000_i1029" type="#_x0000_t75" style="width:61pt;height:33pt">
            <v:imagedata r:id="rId14" o:title=""/>
          </v:shape>
        </w:pict>
      </w:r>
      <w:r w:rsidR="00586869">
        <w:t>,</w:t>
      </w:r>
    </w:p>
    <w:p w:rsidR="00C33EE6" w:rsidRDefault="00586869">
      <w:pPr>
        <w:jc w:val="both"/>
      </w:pPr>
      <w:r>
        <w:t xml:space="preserve">где </w:t>
      </w:r>
      <w:proofErr w:type="spellStart"/>
      <w:r>
        <w:rPr>
          <w:i/>
        </w:rPr>
        <w:t>Х</w:t>
      </w:r>
      <w:r>
        <w:rPr>
          <w:i/>
          <w:vertAlign w:val="subscript"/>
        </w:rPr>
        <w:t>звк</w:t>
      </w:r>
      <w:proofErr w:type="spellEnd"/>
      <w:r>
        <w:rPr>
          <w:i/>
        </w:rPr>
        <w:t xml:space="preserve"> -</w:t>
      </w:r>
      <w:r>
        <w:t xml:space="preserve"> расстояние от источника испарения, </w:t>
      </w:r>
      <w:proofErr w:type="gramStart"/>
      <w:r>
        <w:t>м</w:t>
      </w:r>
      <w:proofErr w:type="gramEnd"/>
      <w:r>
        <w:t xml:space="preserve">; </w:t>
      </w:r>
      <w:r>
        <w:rPr>
          <w:i/>
        </w:rPr>
        <w:t>А</w:t>
      </w:r>
      <w:r>
        <w:t xml:space="preserve"> - константа, равная 0,17; </w:t>
      </w:r>
      <w:proofErr w:type="spellStart"/>
      <w:r>
        <w:rPr>
          <w:i/>
          <w:lang w:val="en-US"/>
        </w:rPr>
        <w:t>J</w:t>
      </w:r>
      <w:r>
        <w:rPr>
          <w:i/>
          <w:vertAlign w:val="subscript"/>
          <w:lang w:val="en-US"/>
        </w:rPr>
        <w:t>n</w:t>
      </w:r>
      <w:proofErr w:type="spellEnd"/>
      <w:r>
        <w:t xml:space="preserve"> - интенсивность испарения, кг</w:t>
      </w:r>
      <w:r>
        <w:sym w:font="Symbol" w:char="F0D7"/>
      </w:r>
      <w:r>
        <w:t>с</w:t>
      </w:r>
      <w:r>
        <w:rPr>
          <w:vertAlign w:val="superscript"/>
        </w:rPr>
        <w:t>-1</w:t>
      </w:r>
      <w:r>
        <w:t xml:space="preserve">, </w:t>
      </w:r>
      <w:r>
        <w:rPr>
          <w:i/>
        </w:rPr>
        <w:sym w:font="Symbol" w:char="F074"/>
      </w:r>
      <w:r>
        <w:t xml:space="preserve"> - продолжительность испарения, с; </w:t>
      </w:r>
      <w:r>
        <w:rPr>
          <w:i/>
        </w:rPr>
        <w:sym w:font="Symbol" w:char="F06A"/>
      </w:r>
      <w:proofErr w:type="spellStart"/>
      <w:r>
        <w:rPr>
          <w:i/>
          <w:vertAlign w:val="subscript"/>
        </w:rPr>
        <w:t>нп</w:t>
      </w:r>
      <w:proofErr w:type="spellEnd"/>
      <w:r>
        <w:t xml:space="preserve"> - нижний концентрационный предел распространения пламени для нефтепродуктов, равный 0,04 кг</w:t>
      </w:r>
      <w:r>
        <w:sym w:font="Symbol" w:char="F0D7"/>
      </w:r>
      <w:r>
        <w:t>м</w:t>
      </w:r>
      <w:r>
        <w:rPr>
          <w:vertAlign w:val="superscript"/>
        </w:rPr>
        <w:t>-3</w:t>
      </w:r>
      <w:r>
        <w:t>.</w:t>
      </w:r>
    </w:p>
    <w:p w:rsidR="00C33EE6" w:rsidRDefault="00586869">
      <w:pPr>
        <w:ind w:firstLine="284"/>
        <w:jc w:val="both"/>
      </w:pPr>
      <w:r>
        <w:t>При отсутствии номенклатуры резервуаров в табл. 2.1 аварийные зоны взрывоопасных концентраций при испарении нефтепродукта с поверхности разлива определяют для наиболее неблагоприятного варианта метеоусловий, способствующего</w:t>
      </w:r>
      <w:r>
        <w:rPr>
          <w:lang w:val="en-US"/>
        </w:rPr>
        <w:t xml:space="preserve"> </w:t>
      </w:r>
      <w:r>
        <w:t>образованию максимально возможных аварийных зон взрывоопасных концентраций. Подвижность воздуха принимается равной нулю, а температура нефтепродукта - среднемесячной температуре окружающей среды для июля.</w:t>
      </w:r>
    </w:p>
    <w:p w:rsidR="00C33EE6" w:rsidRDefault="00586869">
      <w:pPr>
        <w:spacing w:before="120" w:after="120"/>
        <w:ind w:firstLine="284"/>
        <w:jc w:val="right"/>
        <w:rPr>
          <w:i/>
        </w:rPr>
      </w:pPr>
      <w:r>
        <w:rPr>
          <w:i/>
          <w:spacing w:val="40"/>
        </w:rPr>
        <w:t>Таблица</w:t>
      </w:r>
      <w:r>
        <w:rPr>
          <w:i/>
        </w:rPr>
        <w:t xml:space="preserve"> 2.1</w:t>
      </w:r>
    </w:p>
    <w:p w:rsidR="00C33EE6" w:rsidRDefault="00586869">
      <w:pPr>
        <w:spacing w:after="120"/>
        <w:jc w:val="center"/>
        <w:rPr>
          <w:b/>
        </w:rPr>
      </w:pPr>
      <w:r>
        <w:rPr>
          <w:b/>
        </w:rPr>
        <w:t>Аварийные зоны взрывоопасных концентраций при испарении бензина с поверхности разлива</w:t>
      </w:r>
    </w:p>
    <w:tbl>
      <w:tblPr>
        <w:tblW w:w="0" w:type="auto"/>
        <w:jc w:val="center"/>
        <w:tblInd w:w="40" w:type="dxa"/>
        <w:tblBorders>
          <w:top w:val="single" w:sz="6" w:space="0" w:color="auto"/>
          <w:left w:val="single" w:sz="6" w:space="0" w:color="auto"/>
          <w:bottom w:val="single" w:sz="6" w:space="0" w:color="auto"/>
          <w:right w:val="single" w:sz="6" w:space="0" w:color="auto"/>
        </w:tblBorders>
        <w:tblLayout w:type="fixed"/>
        <w:tblCellMar>
          <w:left w:w="28" w:type="dxa"/>
          <w:right w:w="28" w:type="dxa"/>
        </w:tblCellMar>
        <w:tblLook w:val="0000" w:firstRow="0" w:lastRow="0" w:firstColumn="0" w:lastColumn="0" w:noHBand="0" w:noVBand="0"/>
      </w:tblPr>
      <w:tblGrid>
        <w:gridCol w:w="2099"/>
        <w:gridCol w:w="2099"/>
        <w:gridCol w:w="2099"/>
      </w:tblGrid>
      <w:tr w:rsidR="00C33EE6" w:rsidTr="00A8592F">
        <w:trPr>
          <w:jc w:val="center"/>
        </w:trPr>
        <w:tc>
          <w:tcPr>
            <w:tcW w:w="2099" w:type="dxa"/>
          </w:tcPr>
          <w:p w:rsidR="00C33EE6" w:rsidRDefault="00586869">
            <w:pPr>
              <w:jc w:val="center"/>
            </w:pPr>
            <w:r>
              <w:t>Вместимость резервуара, м</w:t>
            </w:r>
            <w:r>
              <w:rPr>
                <w:vertAlign w:val="superscript"/>
              </w:rPr>
              <w:t>3</w:t>
            </w:r>
          </w:p>
        </w:tc>
        <w:tc>
          <w:tcPr>
            <w:tcW w:w="2099" w:type="dxa"/>
          </w:tcPr>
          <w:p w:rsidR="00C33EE6" w:rsidRDefault="00586869">
            <w:pPr>
              <w:jc w:val="center"/>
              <w:rPr>
                <w:lang w:val="en-US"/>
              </w:rPr>
            </w:pPr>
            <w:r>
              <w:t>Площадь разлива, м</w:t>
            </w:r>
            <w:proofErr w:type="gramStart"/>
            <w:r>
              <w:rPr>
                <w:vertAlign w:val="superscript"/>
              </w:rPr>
              <w:t>2</w:t>
            </w:r>
            <w:proofErr w:type="gramEnd"/>
          </w:p>
        </w:tc>
        <w:tc>
          <w:tcPr>
            <w:tcW w:w="2099" w:type="dxa"/>
          </w:tcPr>
          <w:p w:rsidR="00C33EE6" w:rsidRDefault="00586869">
            <w:pPr>
              <w:jc w:val="center"/>
              <w:rPr>
                <w:lang w:val="en-US"/>
              </w:rPr>
            </w:pPr>
            <w:r>
              <w:t xml:space="preserve">Глубина взрывоопасной зоны от границы разлива нефтепродукта, </w:t>
            </w:r>
            <w:proofErr w:type="gramStart"/>
            <w:r>
              <w:t>м</w:t>
            </w:r>
            <w:proofErr w:type="gramEnd"/>
          </w:p>
        </w:tc>
      </w:tr>
      <w:tr w:rsidR="00C33EE6" w:rsidTr="00A8592F">
        <w:trPr>
          <w:jc w:val="center"/>
        </w:trPr>
        <w:tc>
          <w:tcPr>
            <w:tcW w:w="2099" w:type="dxa"/>
          </w:tcPr>
          <w:p w:rsidR="00C33EE6" w:rsidRDefault="00586869">
            <w:pPr>
              <w:jc w:val="center"/>
            </w:pPr>
            <w:r>
              <w:t>100</w:t>
            </w:r>
          </w:p>
        </w:tc>
        <w:tc>
          <w:tcPr>
            <w:tcW w:w="2099" w:type="dxa"/>
          </w:tcPr>
          <w:p w:rsidR="00C33EE6" w:rsidRDefault="00586869">
            <w:pPr>
              <w:jc w:val="center"/>
            </w:pPr>
            <w:r>
              <w:rPr>
                <w:u w:val="single"/>
              </w:rPr>
              <w:t>450</w:t>
            </w:r>
          </w:p>
          <w:p w:rsidR="00C33EE6" w:rsidRDefault="00586869">
            <w:pPr>
              <w:jc w:val="center"/>
            </w:pPr>
            <w:r>
              <w:t>1080</w:t>
            </w:r>
          </w:p>
        </w:tc>
        <w:tc>
          <w:tcPr>
            <w:tcW w:w="2099" w:type="dxa"/>
          </w:tcPr>
          <w:p w:rsidR="00C33EE6" w:rsidRDefault="00586869">
            <w:pPr>
              <w:jc w:val="center"/>
            </w:pPr>
            <w:r>
              <w:rPr>
                <w:u w:val="single"/>
              </w:rPr>
              <w:t>30</w:t>
            </w:r>
          </w:p>
          <w:p w:rsidR="00C33EE6" w:rsidRDefault="00586869">
            <w:pPr>
              <w:jc w:val="center"/>
            </w:pPr>
            <w:r>
              <w:t>47</w:t>
            </w:r>
          </w:p>
        </w:tc>
      </w:tr>
      <w:tr w:rsidR="00C33EE6" w:rsidTr="00A8592F">
        <w:trPr>
          <w:jc w:val="center"/>
        </w:trPr>
        <w:tc>
          <w:tcPr>
            <w:tcW w:w="2099" w:type="dxa"/>
          </w:tcPr>
          <w:p w:rsidR="00C33EE6" w:rsidRDefault="00586869">
            <w:pPr>
              <w:jc w:val="center"/>
            </w:pPr>
            <w:r>
              <w:t>200</w:t>
            </w:r>
          </w:p>
        </w:tc>
        <w:tc>
          <w:tcPr>
            <w:tcW w:w="2099" w:type="dxa"/>
          </w:tcPr>
          <w:p w:rsidR="00C33EE6" w:rsidRDefault="00586869">
            <w:pPr>
              <w:jc w:val="center"/>
            </w:pPr>
            <w:r>
              <w:rPr>
                <w:u w:val="single"/>
              </w:rPr>
              <w:t>900</w:t>
            </w:r>
          </w:p>
          <w:p w:rsidR="00C33EE6" w:rsidRDefault="00586869">
            <w:pPr>
              <w:jc w:val="center"/>
            </w:pPr>
            <w:r>
              <w:t>2160</w:t>
            </w:r>
          </w:p>
        </w:tc>
        <w:tc>
          <w:tcPr>
            <w:tcW w:w="2099" w:type="dxa"/>
          </w:tcPr>
          <w:p w:rsidR="00C33EE6" w:rsidRDefault="00586869">
            <w:pPr>
              <w:jc w:val="center"/>
              <w:rPr>
                <w:u w:val="single"/>
              </w:rPr>
            </w:pPr>
            <w:r>
              <w:rPr>
                <w:u w:val="single"/>
              </w:rPr>
              <w:t>43</w:t>
            </w:r>
          </w:p>
          <w:p w:rsidR="00C33EE6" w:rsidRDefault="00586869">
            <w:pPr>
              <w:jc w:val="center"/>
            </w:pPr>
            <w:r>
              <w:t>66</w:t>
            </w:r>
          </w:p>
        </w:tc>
      </w:tr>
      <w:tr w:rsidR="00C33EE6" w:rsidTr="00A8592F">
        <w:trPr>
          <w:jc w:val="center"/>
        </w:trPr>
        <w:tc>
          <w:tcPr>
            <w:tcW w:w="2099" w:type="dxa"/>
          </w:tcPr>
          <w:p w:rsidR="00C33EE6" w:rsidRDefault="00586869">
            <w:pPr>
              <w:jc w:val="center"/>
            </w:pPr>
            <w:r>
              <w:t>300</w:t>
            </w:r>
          </w:p>
        </w:tc>
        <w:tc>
          <w:tcPr>
            <w:tcW w:w="2099" w:type="dxa"/>
          </w:tcPr>
          <w:p w:rsidR="00C33EE6" w:rsidRDefault="00586869">
            <w:pPr>
              <w:jc w:val="center"/>
            </w:pPr>
            <w:r>
              <w:rPr>
                <w:u w:val="single"/>
              </w:rPr>
              <w:t>1350</w:t>
            </w:r>
          </w:p>
          <w:p w:rsidR="00C33EE6" w:rsidRDefault="00586869">
            <w:pPr>
              <w:jc w:val="center"/>
            </w:pPr>
            <w:r>
              <w:t>3240</w:t>
            </w:r>
          </w:p>
        </w:tc>
        <w:tc>
          <w:tcPr>
            <w:tcW w:w="2099" w:type="dxa"/>
          </w:tcPr>
          <w:p w:rsidR="00C33EE6" w:rsidRDefault="00586869">
            <w:pPr>
              <w:jc w:val="center"/>
            </w:pPr>
            <w:r>
              <w:rPr>
                <w:u w:val="single"/>
              </w:rPr>
              <w:t>52</w:t>
            </w:r>
          </w:p>
          <w:p w:rsidR="00C33EE6" w:rsidRDefault="00586869">
            <w:pPr>
              <w:jc w:val="center"/>
            </w:pPr>
            <w:r>
              <w:t>81</w:t>
            </w:r>
          </w:p>
        </w:tc>
      </w:tr>
      <w:tr w:rsidR="00C33EE6" w:rsidTr="00A8592F">
        <w:trPr>
          <w:jc w:val="center"/>
        </w:trPr>
        <w:tc>
          <w:tcPr>
            <w:tcW w:w="2099" w:type="dxa"/>
          </w:tcPr>
          <w:p w:rsidR="00C33EE6" w:rsidRDefault="00586869">
            <w:pPr>
              <w:jc w:val="center"/>
              <w:rPr>
                <w:i/>
                <w:lang w:val="en-US"/>
              </w:rPr>
            </w:pPr>
            <w:r>
              <w:t>400</w:t>
            </w:r>
          </w:p>
        </w:tc>
        <w:tc>
          <w:tcPr>
            <w:tcW w:w="2099" w:type="dxa"/>
          </w:tcPr>
          <w:p w:rsidR="00C33EE6" w:rsidRDefault="00586869">
            <w:pPr>
              <w:jc w:val="center"/>
            </w:pPr>
            <w:r>
              <w:rPr>
                <w:u w:val="single"/>
              </w:rPr>
              <w:t>1800</w:t>
            </w:r>
          </w:p>
          <w:p w:rsidR="00C33EE6" w:rsidRDefault="00586869">
            <w:pPr>
              <w:jc w:val="center"/>
            </w:pPr>
            <w:r>
              <w:t>4320</w:t>
            </w:r>
          </w:p>
        </w:tc>
        <w:tc>
          <w:tcPr>
            <w:tcW w:w="2099" w:type="dxa"/>
          </w:tcPr>
          <w:p w:rsidR="00C33EE6" w:rsidRDefault="00586869">
            <w:pPr>
              <w:jc w:val="center"/>
            </w:pPr>
            <w:r>
              <w:rPr>
                <w:u w:val="single"/>
              </w:rPr>
              <w:t>61</w:t>
            </w:r>
          </w:p>
          <w:p w:rsidR="00C33EE6" w:rsidRDefault="00586869">
            <w:pPr>
              <w:jc w:val="center"/>
            </w:pPr>
            <w:r>
              <w:t>94</w:t>
            </w:r>
          </w:p>
        </w:tc>
      </w:tr>
      <w:tr w:rsidR="00C33EE6" w:rsidTr="00A8592F">
        <w:trPr>
          <w:jc w:val="center"/>
        </w:trPr>
        <w:tc>
          <w:tcPr>
            <w:tcW w:w="2099" w:type="dxa"/>
          </w:tcPr>
          <w:p w:rsidR="00C33EE6" w:rsidRDefault="00586869">
            <w:pPr>
              <w:jc w:val="center"/>
              <w:rPr>
                <w:lang w:val="en-US"/>
              </w:rPr>
            </w:pPr>
            <w:r>
              <w:t>700</w:t>
            </w:r>
          </w:p>
        </w:tc>
        <w:tc>
          <w:tcPr>
            <w:tcW w:w="2099" w:type="dxa"/>
          </w:tcPr>
          <w:p w:rsidR="00C33EE6" w:rsidRDefault="00586869">
            <w:pPr>
              <w:jc w:val="center"/>
            </w:pPr>
            <w:r>
              <w:rPr>
                <w:u w:val="single"/>
              </w:rPr>
              <w:t>3150</w:t>
            </w:r>
          </w:p>
          <w:p w:rsidR="00C33EE6" w:rsidRDefault="00586869">
            <w:pPr>
              <w:jc w:val="center"/>
            </w:pPr>
            <w:r>
              <w:t>7560</w:t>
            </w:r>
          </w:p>
        </w:tc>
        <w:tc>
          <w:tcPr>
            <w:tcW w:w="2099" w:type="dxa"/>
          </w:tcPr>
          <w:p w:rsidR="00C33EE6" w:rsidRDefault="00586869">
            <w:pPr>
              <w:jc w:val="center"/>
              <w:rPr>
                <w:i/>
              </w:rPr>
            </w:pPr>
            <w:r>
              <w:rPr>
                <w:u w:val="single"/>
              </w:rPr>
              <w:t>80</w:t>
            </w:r>
          </w:p>
          <w:p w:rsidR="00C33EE6" w:rsidRDefault="00586869">
            <w:pPr>
              <w:jc w:val="center"/>
            </w:pPr>
            <w:r>
              <w:t>124</w:t>
            </w:r>
          </w:p>
        </w:tc>
      </w:tr>
      <w:tr w:rsidR="00C33EE6" w:rsidTr="00A8592F">
        <w:trPr>
          <w:jc w:val="center"/>
        </w:trPr>
        <w:tc>
          <w:tcPr>
            <w:tcW w:w="2099" w:type="dxa"/>
          </w:tcPr>
          <w:p w:rsidR="00C33EE6" w:rsidRDefault="00586869">
            <w:pPr>
              <w:jc w:val="center"/>
              <w:rPr>
                <w:lang w:val="en-US"/>
              </w:rPr>
            </w:pPr>
            <w:r>
              <w:t>1000</w:t>
            </w:r>
          </w:p>
        </w:tc>
        <w:tc>
          <w:tcPr>
            <w:tcW w:w="2099" w:type="dxa"/>
          </w:tcPr>
          <w:p w:rsidR="00C33EE6" w:rsidRDefault="00586869">
            <w:pPr>
              <w:jc w:val="center"/>
            </w:pPr>
            <w:r>
              <w:rPr>
                <w:u w:val="single"/>
              </w:rPr>
              <w:t>4500</w:t>
            </w:r>
          </w:p>
          <w:p w:rsidR="00C33EE6" w:rsidRDefault="00586869">
            <w:pPr>
              <w:jc w:val="center"/>
              <w:rPr>
                <w:lang w:val="en-US"/>
              </w:rPr>
            </w:pPr>
            <w:r>
              <w:rPr>
                <w:lang w:val="en-US"/>
              </w:rPr>
              <w:t>l</w:t>
            </w:r>
            <w:r>
              <w:t>0800</w:t>
            </w:r>
          </w:p>
        </w:tc>
        <w:tc>
          <w:tcPr>
            <w:tcW w:w="2099" w:type="dxa"/>
          </w:tcPr>
          <w:p w:rsidR="00C33EE6" w:rsidRDefault="00586869">
            <w:pPr>
              <w:jc w:val="center"/>
            </w:pPr>
            <w:r>
              <w:rPr>
                <w:u w:val="single"/>
              </w:rPr>
              <w:t>96</w:t>
            </w:r>
          </w:p>
          <w:p w:rsidR="00C33EE6" w:rsidRDefault="00586869">
            <w:pPr>
              <w:jc w:val="center"/>
            </w:pPr>
            <w:r>
              <w:t>148</w:t>
            </w:r>
          </w:p>
        </w:tc>
      </w:tr>
      <w:tr w:rsidR="00C33EE6" w:rsidTr="00A8592F">
        <w:trPr>
          <w:jc w:val="center"/>
        </w:trPr>
        <w:tc>
          <w:tcPr>
            <w:tcW w:w="2099" w:type="dxa"/>
          </w:tcPr>
          <w:p w:rsidR="00C33EE6" w:rsidRDefault="00586869">
            <w:pPr>
              <w:jc w:val="center"/>
              <w:rPr>
                <w:lang w:val="en-US"/>
              </w:rPr>
            </w:pPr>
            <w:r>
              <w:t>2000</w:t>
            </w:r>
          </w:p>
        </w:tc>
        <w:tc>
          <w:tcPr>
            <w:tcW w:w="2099" w:type="dxa"/>
          </w:tcPr>
          <w:p w:rsidR="00C33EE6" w:rsidRDefault="00586869">
            <w:pPr>
              <w:jc w:val="center"/>
            </w:pPr>
            <w:r>
              <w:rPr>
                <w:u w:val="single"/>
              </w:rPr>
              <w:t>9000</w:t>
            </w:r>
          </w:p>
          <w:p w:rsidR="00C33EE6" w:rsidRDefault="00586869">
            <w:pPr>
              <w:jc w:val="center"/>
            </w:pPr>
            <w:r>
              <w:t>21600</w:t>
            </w:r>
          </w:p>
        </w:tc>
        <w:tc>
          <w:tcPr>
            <w:tcW w:w="2099" w:type="dxa"/>
          </w:tcPr>
          <w:p w:rsidR="00C33EE6" w:rsidRDefault="00586869">
            <w:pPr>
              <w:jc w:val="center"/>
            </w:pPr>
            <w:r>
              <w:rPr>
                <w:u w:val="single"/>
              </w:rPr>
              <w:t>135</w:t>
            </w:r>
          </w:p>
          <w:p w:rsidR="00C33EE6" w:rsidRDefault="00586869">
            <w:pPr>
              <w:jc w:val="center"/>
            </w:pPr>
            <w:r>
              <w:t>210</w:t>
            </w:r>
          </w:p>
        </w:tc>
      </w:tr>
      <w:tr w:rsidR="00C33EE6" w:rsidTr="00A8592F">
        <w:trPr>
          <w:jc w:val="center"/>
        </w:trPr>
        <w:tc>
          <w:tcPr>
            <w:tcW w:w="2099" w:type="dxa"/>
          </w:tcPr>
          <w:p w:rsidR="00C33EE6" w:rsidRDefault="00586869">
            <w:pPr>
              <w:jc w:val="center"/>
              <w:rPr>
                <w:lang w:val="en-US"/>
              </w:rPr>
            </w:pPr>
            <w:r>
              <w:t>3000</w:t>
            </w:r>
          </w:p>
        </w:tc>
        <w:tc>
          <w:tcPr>
            <w:tcW w:w="2099" w:type="dxa"/>
          </w:tcPr>
          <w:p w:rsidR="00C33EE6" w:rsidRDefault="00586869">
            <w:pPr>
              <w:jc w:val="center"/>
            </w:pPr>
            <w:r>
              <w:rPr>
                <w:u w:val="single"/>
                <w:lang w:val="en-US"/>
              </w:rPr>
              <w:t>1350</w:t>
            </w:r>
            <w:r>
              <w:rPr>
                <w:u w:val="single"/>
              </w:rPr>
              <w:t>0</w:t>
            </w:r>
          </w:p>
          <w:p w:rsidR="00C33EE6" w:rsidRDefault="00586869">
            <w:pPr>
              <w:jc w:val="center"/>
              <w:rPr>
                <w:i/>
                <w:lang w:val="en-US"/>
              </w:rPr>
            </w:pPr>
            <w:r>
              <w:t>32400</w:t>
            </w:r>
          </w:p>
        </w:tc>
        <w:tc>
          <w:tcPr>
            <w:tcW w:w="2099" w:type="dxa"/>
          </w:tcPr>
          <w:p w:rsidR="00C33EE6" w:rsidRDefault="00586869">
            <w:pPr>
              <w:jc w:val="center"/>
            </w:pPr>
            <w:r>
              <w:rPr>
                <w:u w:val="single"/>
              </w:rPr>
              <w:t>166</w:t>
            </w:r>
          </w:p>
          <w:p w:rsidR="00C33EE6" w:rsidRDefault="00586869">
            <w:pPr>
              <w:jc w:val="center"/>
            </w:pPr>
            <w:r>
              <w:t>257</w:t>
            </w:r>
          </w:p>
        </w:tc>
      </w:tr>
      <w:tr w:rsidR="00C33EE6" w:rsidTr="00A8592F">
        <w:trPr>
          <w:jc w:val="center"/>
        </w:trPr>
        <w:tc>
          <w:tcPr>
            <w:tcW w:w="2099" w:type="dxa"/>
          </w:tcPr>
          <w:p w:rsidR="00C33EE6" w:rsidRDefault="00586869">
            <w:pPr>
              <w:jc w:val="center"/>
              <w:rPr>
                <w:i/>
                <w:lang w:val="en-US"/>
              </w:rPr>
            </w:pPr>
            <w:r>
              <w:t>5000</w:t>
            </w:r>
          </w:p>
        </w:tc>
        <w:tc>
          <w:tcPr>
            <w:tcW w:w="2099" w:type="dxa"/>
          </w:tcPr>
          <w:p w:rsidR="00C33EE6" w:rsidRDefault="00586869">
            <w:pPr>
              <w:jc w:val="center"/>
            </w:pPr>
            <w:r>
              <w:rPr>
                <w:u w:val="single"/>
              </w:rPr>
              <w:t>22500</w:t>
            </w:r>
          </w:p>
          <w:p w:rsidR="00C33EE6" w:rsidRDefault="00586869">
            <w:pPr>
              <w:jc w:val="center"/>
            </w:pPr>
            <w:r>
              <w:t>54000</w:t>
            </w:r>
          </w:p>
        </w:tc>
        <w:tc>
          <w:tcPr>
            <w:tcW w:w="2099" w:type="dxa"/>
          </w:tcPr>
          <w:p w:rsidR="00C33EE6" w:rsidRDefault="00586869">
            <w:pPr>
              <w:jc w:val="center"/>
              <w:rPr>
                <w:u w:val="single"/>
              </w:rPr>
            </w:pPr>
            <w:r>
              <w:rPr>
                <w:u w:val="single"/>
              </w:rPr>
              <w:t>214</w:t>
            </w:r>
          </w:p>
          <w:p w:rsidR="00C33EE6" w:rsidRDefault="00586869">
            <w:pPr>
              <w:jc w:val="center"/>
            </w:pPr>
            <w:r>
              <w:t>332</w:t>
            </w:r>
          </w:p>
        </w:tc>
      </w:tr>
      <w:tr w:rsidR="00C33EE6" w:rsidTr="00A8592F">
        <w:trPr>
          <w:jc w:val="center"/>
        </w:trPr>
        <w:tc>
          <w:tcPr>
            <w:tcW w:w="2099" w:type="dxa"/>
          </w:tcPr>
          <w:p w:rsidR="00C33EE6" w:rsidRDefault="00586869">
            <w:pPr>
              <w:jc w:val="center"/>
            </w:pPr>
            <w:r>
              <w:t>10000</w:t>
            </w:r>
          </w:p>
        </w:tc>
        <w:tc>
          <w:tcPr>
            <w:tcW w:w="2099" w:type="dxa"/>
          </w:tcPr>
          <w:p w:rsidR="00C33EE6" w:rsidRDefault="00586869">
            <w:pPr>
              <w:jc w:val="center"/>
              <w:rPr>
                <w:u w:val="single"/>
              </w:rPr>
            </w:pPr>
            <w:r>
              <w:rPr>
                <w:u w:val="single"/>
              </w:rPr>
              <w:t>45000</w:t>
            </w:r>
          </w:p>
          <w:p w:rsidR="00C33EE6" w:rsidRDefault="00586869">
            <w:pPr>
              <w:jc w:val="center"/>
            </w:pPr>
            <w:r>
              <w:t>108000</w:t>
            </w:r>
          </w:p>
        </w:tc>
        <w:tc>
          <w:tcPr>
            <w:tcW w:w="2099" w:type="dxa"/>
          </w:tcPr>
          <w:p w:rsidR="00C33EE6" w:rsidRDefault="00586869">
            <w:pPr>
              <w:jc w:val="center"/>
            </w:pPr>
            <w:r>
              <w:rPr>
                <w:u w:val="single"/>
              </w:rPr>
              <w:t>3000</w:t>
            </w:r>
          </w:p>
          <w:p w:rsidR="00C33EE6" w:rsidRDefault="00586869">
            <w:pPr>
              <w:jc w:val="center"/>
            </w:pPr>
            <w:r>
              <w:t>470</w:t>
            </w:r>
          </w:p>
        </w:tc>
      </w:tr>
    </w:tbl>
    <w:p w:rsidR="00C33EE6" w:rsidRDefault="00586869">
      <w:pPr>
        <w:spacing w:before="120" w:after="120"/>
        <w:ind w:firstLine="284"/>
        <w:jc w:val="both"/>
      </w:pPr>
      <w:r>
        <w:rPr>
          <w:spacing w:val="40"/>
        </w:rPr>
        <w:t>Примечание</w:t>
      </w:r>
      <w:r>
        <w:t xml:space="preserve">. Расчетная температура при испарении бензина принята равной 28 </w:t>
      </w:r>
      <w:r>
        <w:sym w:font="Symbol" w:char="F0B0"/>
      </w:r>
      <w:r>
        <w:t>С</w:t>
      </w:r>
      <w:r>
        <w:rPr>
          <w:i/>
        </w:rPr>
        <w:t>.</w:t>
      </w:r>
      <w:r>
        <w:t xml:space="preserve"> Продолжительность испарения - 1 ч.</w:t>
      </w:r>
    </w:p>
    <w:p w:rsidR="00C33EE6" w:rsidRDefault="00586869">
      <w:pPr>
        <w:ind w:firstLine="284"/>
        <w:jc w:val="both"/>
      </w:pPr>
      <w:r>
        <w:t>Интенсивность испарения допускается определять по следующей формуле</w:t>
      </w:r>
      <w:proofErr w:type="gramStart"/>
      <w:r>
        <w:t>:</w:t>
      </w:r>
      <w:proofErr w:type="gramEnd"/>
    </w:p>
    <w:p w:rsidR="00C33EE6" w:rsidRDefault="00AE624D">
      <w:pPr>
        <w:spacing w:before="120" w:after="120"/>
        <w:jc w:val="center"/>
        <w:rPr>
          <w:i/>
        </w:rPr>
      </w:pPr>
      <w:r>
        <w:rPr>
          <w:i/>
          <w:position w:val="-12"/>
        </w:rPr>
        <w:pict>
          <v:shape id="_x0000_i1028" type="#_x0000_t75" style="width:80pt;height:19pt">
            <v:imagedata r:id="rId15" o:title=""/>
          </v:shape>
        </w:pict>
      </w:r>
      <w:r w:rsidR="00586869">
        <w:t>,</w:t>
      </w:r>
    </w:p>
    <w:p w:rsidR="00C33EE6" w:rsidRDefault="00586869">
      <w:pPr>
        <w:jc w:val="both"/>
      </w:pPr>
      <w:r>
        <w:t xml:space="preserve">где </w:t>
      </w:r>
      <w:proofErr w:type="spellStart"/>
      <w:r>
        <w:rPr>
          <w:i/>
        </w:rPr>
        <w:t>М</w:t>
      </w:r>
      <w:r>
        <w:rPr>
          <w:i/>
          <w:vertAlign w:val="subscript"/>
        </w:rPr>
        <w:t>п</w:t>
      </w:r>
      <w:proofErr w:type="spellEnd"/>
      <w:r>
        <w:rPr>
          <w:i/>
        </w:rPr>
        <w:t xml:space="preserve"> -</w:t>
      </w:r>
      <w:r>
        <w:t xml:space="preserve"> молекулярная масса паров нефтепродукта, </w:t>
      </w:r>
      <w:r>
        <w:rPr>
          <w:i/>
        </w:rPr>
        <w:t>Р</w:t>
      </w:r>
      <w:r>
        <w:rPr>
          <w:i/>
          <w:vertAlign w:val="subscript"/>
          <w:lang w:val="en-US"/>
        </w:rPr>
        <w:t>s</w:t>
      </w:r>
      <w:r>
        <w:t xml:space="preserve"> - давление насыщенных паров нефтепродукта, кПа;</w:t>
      </w:r>
      <w:r>
        <w:rPr>
          <w:lang w:val="en-US"/>
        </w:rPr>
        <w:t xml:space="preserve"> </w:t>
      </w:r>
      <w:r>
        <w:rPr>
          <w:i/>
          <w:lang w:val="en-US"/>
        </w:rPr>
        <w:t>F</w:t>
      </w:r>
      <w:proofErr w:type="spellStart"/>
      <w:r>
        <w:rPr>
          <w:i/>
          <w:vertAlign w:val="subscript"/>
        </w:rPr>
        <w:t>зр</w:t>
      </w:r>
      <w:proofErr w:type="spellEnd"/>
      <w:r>
        <w:rPr>
          <w:i/>
        </w:rPr>
        <w:t xml:space="preserve"> -</w:t>
      </w:r>
      <w:r>
        <w:t xml:space="preserve"> поверхность разлива (испарения) нефтепродукта, м</w:t>
      </w:r>
      <w:proofErr w:type="gramStart"/>
      <w:r>
        <w:rPr>
          <w:vertAlign w:val="superscript"/>
        </w:rPr>
        <w:t>2</w:t>
      </w:r>
      <w:proofErr w:type="gramEnd"/>
      <w:r>
        <w:t>.</w:t>
      </w:r>
    </w:p>
    <w:p w:rsidR="00C33EE6" w:rsidRDefault="00586869">
      <w:pPr>
        <w:ind w:firstLine="284"/>
        <w:jc w:val="both"/>
      </w:pPr>
      <w:proofErr w:type="gramStart"/>
      <w:r>
        <w:t>Продолжительность испарения допускается принимать равной 1 ч при расчете испарения с зоны разлива на случай полного разрушения резервуара и 8 ч при испарении с площади разлива в пределах обвалования.</w:t>
      </w:r>
      <w:proofErr w:type="gramEnd"/>
    </w:p>
    <w:p w:rsidR="00C33EE6" w:rsidRDefault="00586869">
      <w:pPr>
        <w:ind w:firstLine="284"/>
        <w:jc w:val="both"/>
      </w:pPr>
      <w:r>
        <w:t>Давление насыщенных паров нефтепродукта (</w:t>
      </w:r>
      <w:r>
        <w:rPr>
          <w:i/>
        </w:rPr>
        <w:t>Р</w:t>
      </w:r>
      <w:r>
        <w:rPr>
          <w:i/>
          <w:vertAlign w:val="subscript"/>
          <w:lang w:val="en-US"/>
        </w:rPr>
        <w:t>s</w:t>
      </w:r>
      <w:r>
        <w:t>, кПа) допускается определять по показателю качества нефтепродукт</w:t>
      </w:r>
      <w:proofErr w:type="gramStart"/>
      <w:r>
        <w:rPr>
          <w:lang w:val="en-US"/>
        </w:rPr>
        <w:t>a</w:t>
      </w:r>
      <w:proofErr w:type="gramEnd"/>
      <w:r>
        <w:t xml:space="preserve"> -</w:t>
      </w:r>
      <w:r>
        <w:rPr>
          <w:lang w:val="en-US"/>
        </w:rPr>
        <w:t xml:space="preserve"> </w:t>
      </w:r>
      <w:r>
        <w:t>температуре вспышки в закрытом тигле (</w:t>
      </w:r>
      <w:r>
        <w:rPr>
          <w:i/>
          <w:lang w:val="en-US"/>
        </w:rPr>
        <w:t>t</w:t>
      </w:r>
      <w:proofErr w:type="spellStart"/>
      <w:r>
        <w:rPr>
          <w:i/>
          <w:vertAlign w:val="subscript"/>
        </w:rPr>
        <w:t>всп</w:t>
      </w:r>
      <w:proofErr w:type="spellEnd"/>
      <w:r>
        <w:t xml:space="preserve">, </w:t>
      </w:r>
      <w:r>
        <w:sym w:font="Symbol" w:char="F0B0"/>
      </w:r>
      <w:r>
        <w:t>С)</w:t>
      </w:r>
    </w:p>
    <w:p w:rsidR="00C33EE6" w:rsidRDefault="00AE624D">
      <w:pPr>
        <w:spacing w:before="120" w:after="120"/>
        <w:jc w:val="center"/>
        <w:rPr>
          <w:i/>
        </w:rPr>
      </w:pPr>
      <w:r>
        <w:rPr>
          <w:i/>
          <w:position w:val="-26"/>
        </w:rPr>
        <w:lastRenderedPageBreak/>
        <w:pict>
          <v:shape id="_x0000_i1027" type="#_x0000_t75" style="width:191pt;height:32pt">
            <v:imagedata r:id="rId16" o:title=""/>
          </v:shape>
        </w:pict>
      </w:r>
      <w:r w:rsidR="00586869">
        <w:t>,</w:t>
      </w:r>
    </w:p>
    <w:p w:rsidR="00C33EE6" w:rsidRDefault="00586869">
      <w:pPr>
        <w:jc w:val="both"/>
      </w:pPr>
      <w:r>
        <w:t xml:space="preserve">где </w:t>
      </w:r>
      <w:proofErr w:type="gramStart"/>
      <w:r>
        <w:rPr>
          <w:i/>
          <w:lang w:val="en-US"/>
        </w:rPr>
        <w:t>t</w:t>
      </w:r>
      <w:proofErr w:type="gramEnd"/>
      <w:r>
        <w:rPr>
          <w:i/>
          <w:vertAlign w:val="subscript"/>
        </w:rPr>
        <w:t>н</w:t>
      </w:r>
      <w:r>
        <w:t xml:space="preserve"> - температура нефтепродукта, °С.</w:t>
      </w:r>
    </w:p>
    <w:p w:rsidR="00C33EE6" w:rsidRDefault="00586869">
      <w:pPr>
        <w:spacing w:before="120" w:after="120"/>
        <w:ind w:firstLine="284"/>
        <w:jc w:val="both"/>
        <w:rPr>
          <w:b/>
        </w:rPr>
      </w:pPr>
      <w:r>
        <w:rPr>
          <w:b/>
          <w:u w:val="single"/>
        </w:rPr>
        <w:t>Методика</w:t>
      </w:r>
      <w:r>
        <w:rPr>
          <w:b/>
          <w:u w:val="single"/>
          <w:lang w:val="en-US"/>
        </w:rPr>
        <w:t xml:space="preserve"> </w:t>
      </w:r>
      <w:r>
        <w:rPr>
          <w:b/>
          <w:u w:val="single"/>
        </w:rPr>
        <w:t>№ 3.</w:t>
      </w:r>
      <w:r>
        <w:rPr>
          <w:b/>
        </w:rPr>
        <w:t xml:space="preserve"> Определение зон избыточного давления при взрыве</w:t>
      </w:r>
      <w:r>
        <w:rPr>
          <w:b/>
          <w:lang w:val="en-US"/>
        </w:rPr>
        <w:t xml:space="preserve"> </w:t>
      </w:r>
      <w:r>
        <w:rPr>
          <w:b/>
        </w:rPr>
        <w:t>паров бензина</w:t>
      </w:r>
    </w:p>
    <w:p w:rsidR="00C33EE6" w:rsidRDefault="00586869">
      <w:pPr>
        <w:ind w:firstLine="284"/>
        <w:jc w:val="both"/>
      </w:pPr>
      <w:r>
        <w:t>В качестве</w:t>
      </w:r>
      <w:r>
        <w:rPr>
          <w:smallCaps/>
        </w:rPr>
        <w:t xml:space="preserve"> </w:t>
      </w:r>
      <w:r>
        <w:t>критерия</w:t>
      </w:r>
      <w:r>
        <w:rPr>
          <w:lang w:val="en-US"/>
        </w:rPr>
        <w:t xml:space="preserve"> </w:t>
      </w:r>
      <w:r>
        <w:t>опасности избыточного давления для зданий и сооружений принято нормативное значение, равное 5 кПа.</w:t>
      </w:r>
    </w:p>
    <w:p w:rsidR="00C33EE6" w:rsidRDefault="00586869">
      <w:pPr>
        <w:ind w:firstLine="284"/>
        <w:jc w:val="both"/>
      </w:pPr>
      <w:r>
        <w:t>Зоны избыточного давления при взрыве паров бензина приведены в</w:t>
      </w:r>
      <w:r>
        <w:rPr>
          <w:lang w:val="en-US"/>
        </w:rPr>
        <w:t xml:space="preserve"> </w:t>
      </w:r>
      <w:proofErr w:type="spellStart"/>
      <w:r>
        <w:t>табл</w:t>
      </w:r>
      <w:proofErr w:type="spellEnd"/>
      <w:r>
        <w:rPr>
          <w:lang w:val="en-US"/>
        </w:rPr>
        <w:t>.</w:t>
      </w:r>
      <w:r>
        <w:t xml:space="preserve"> 3.1. Расстояние до границы зоны опасного избыточного давления определяют от центра зоны разлива.</w:t>
      </w:r>
    </w:p>
    <w:p w:rsidR="00C33EE6" w:rsidRDefault="00586869">
      <w:pPr>
        <w:ind w:firstLine="284"/>
        <w:jc w:val="both"/>
      </w:pPr>
      <w:r>
        <w:t>По результатам определения составляется карта, которая представляет</w:t>
      </w:r>
      <w:r>
        <w:rPr>
          <w:lang w:val="en-US"/>
        </w:rPr>
        <w:t xml:space="preserve"> </w:t>
      </w:r>
      <w:r>
        <w:t>собой ситуационный план с нанесением расчетных зон разрушений. В текстовой части указывается возможное поражение людей и территории в случае мгновенного взрывного сгорания паровоздушного облака.</w:t>
      </w:r>
    </w:p>
    <w:p w:rsidR="00C33EE6" w:rsidRDefault="00586869">
      <w:pPr>
        <w:ind w:firstLine="284"/>
        <w:jc w:val="both"/>
      </w:pPr>
      <w:r>
        <w:t>Для проведения многовариантных расчетов радиусов зон взрывных нагрузок при</w:t>
      </w:r>
      <w:r>
        <w:rPr>
          <w:lang w:val="en-US"/>
        </w:rPr>
        <w:t xml:space="preserve"> </w:t>
      </w:r>
      <w:r>
        <w:t>сгорании паров углеводородов, испарившихся с площади разлива нефтепродукта, можно использовать следующее выражение, полученное из работ по оценке опасности промышленных взрывов на взрывопожароопасных химических, нефтехимических и нефтеперерабатывающих производствах:</w:t>
      </w:r>
    </w:p>
    <w:p w:rsidR="00C33EE6" w:rsidRDefault="00AE624D">
      <w:pPr>
        <w:spacing w:before="120"/>
        <w:jc w:val="center"/>
      </w:pPr>
      <w:r>
        <w:rPr>
          <w:position w:val="-50"/>
        </w:rPr>
        <w:pict>
          <v:shape id="_x0000_i1026" type="#_x0000_t75" style="width:193pt;height:54.5pt">
            <v:imagedata r:id="rId17" o:title=""/>
          </v:shape>
        </w:pict>
      </w:r>
      <w:r w:rsidR="00586869">
        <w:t xml:space="preserve"> </w:t>
      </w:r>
    </w:p>
    <w:p w:rsidR="00C33EE6" w:rsidRDefault="00586869">
      <w:pPr>
        <w:tabs>
          <w:tab w:val="left" w:pos="2552"/>
        </w:tabs>
        <w:spacing w:after="120"/>
        <w:ind w:firstLine="2268"/>
        <w:jc w:val="both"/>
      </w:pPr>
      <w:r>
        <w:t>(0,45</w:t>
      </w:r>
      <w:proofErr w:type="spellStart"/>
      <w:r>
        <w:rPr>
          <w:i/>
          <w:lang w:val="en-US"/>
        </w:rPr>
        <w:t>m</w:t>
      </w:r>
      <w:r>
        <w:rPr>
          <w:i/>
          <w:vertAlign w:val="subscript"/>
          <w:lang w:val="en-US"/>
        </w:rPr>
        <w:t>n</w:t>
      </w:r>
      <w:proofErr w:type="spellEnd"/>
      <w:r>
        <w:t>)</w:t>
      </w:r>
      <w:r>
        <w:rPr>
          <w:vertAlign w:val="superscript"/>
        </w:rPr>
        <w:t>1</w:t>
      </w:r>
      <w:r>
        <w:rPr>
          <w:vertAlign w:val="superscript"/>
          <w:lang w:val="en-US"/>
        </w:rPr>
        <w:t>/</w:t>
      </w:r>
      <w:r>
        <w:rPr>
          <w:vertAlign w:val="superscript"/>
        </w:rPr>
        <w:t>3</w:t>
      </w:r>
      <w:r>
        <w:t xml:space="preserve"> </w:t>
      </w:r>
      <w:r>
        <w:tab/>
        <w:t xml:space="preserve">при </w:t>
      </w:r>
      <w:proofErr w:type="spellStart"/>
      <w:r>
        <w:rPr>
          <w:i/>
          <w:lang w:val="en-US"/>
        </w:rPr>
        <w:t>m</w:t>
      </w:r>
      <w:r>
        <w:rPr>
          <w:i/>
          <w:vertAlign w:val="subscript"/>
          <w:lang w:val="en-US"/>
        </w:rPr>
        <w:t>n</w:t>
      </w:r>
      <w:proofErr w:type="spellEnd"/>
      <w:r>
        <w:rPr>
          <w:lang w:val="en-US"/>
        </w:rPr>
        <w:t xml:space="preserve"> </w:t>
      </w:r>
      <w:r>
        <w:sym w:font="Symbol" w:char="F0B3"/>
      </w:r>
      <w:r>
        <w:t xml:space="preserve"> 5000 кг</w:t>
      </w:r>
    </w:p>
    <w:p w:rsidR="00C33EE6" w:rsidRDefault="00586869">
      <w:pPr>
        <w:spacing w:before="120" w:after="120"/>
        <w:jc w:val="both"/>
      </w:pPr>
      <w:r>
        <w:t>где</w:t>
      </w:r>
      <w:r>
        <w:rPr>
          <w:lang w:val="en-US"/>
        </w:rPr>
        <w:t xml:space="preserve"> </w:t>
      </w:r>
      <w:proofErr w:type="spellStart"/>
      <w:r>
        <w:rPr>
          <w:i/>
          <w:lang w:val="en-US"/>
        </w:rPr>
        <w:t>R</w:t>
      </w:r>
      <w:r>
        <w:rPr>
          <w:i/>
          <w:vertAlign w:val="subscript"/>
          <w:lang w:val="en-US"/>
        </w:rPr>
        <w:t>i</w:t>
      </w:r>
      <w:proofErr w:type="spellEnd"/>
      <w:r>
        <w:rPr>
          <w:i/>
        </w:rPr>
        <w:t xml:space="preserve"> -</w:t>
      </w:r>
      <w:r>
        <w:t xml:space="preserve"> радиус класса опасной зоны с заданным избыточным давлением на границе зоны, </w:t>
      </w:r>
      <w:proofErr w:type="gramStart"/>
      <w:r>
        <w:t>м</w:t>
      </w:r>
      <w:proofErr w:type="gramEnd"/>
      <w:r>
        <w:t xml:space="preserve"> (табл. 3.2); </w:t>
      </w:r>
      <w:proofErr w:type="spellStart"/>
      <w:r>
        <w:rPr>
          <w:i/>
          <w:lang w:val="en-US"/>
        </w:rPr>
        <w:t>k</w:t>
      </w:r>
      <w:r>
        <w:rPr>
          <w:i/>
          <w:vertAlign w:val="subscript"/>
          <w:lang w:val="en-US"/>
        </w:rPr>
        <w:t>i</w:t>
      </w:r>
      <w:proofErr w:type="spellEnd"/>
      <w:r>
        <w:t xml:space="preserve"> - коэффициент взаимосвязи величины избыточного давления с радиусом опасной зоны (см. табл. 3.2);</w:t>
      </w:r>
      <w:r>
        <w:rPr>
          <w:lang w:val="en-US"/>
        </w:rPr>
        <w:t xml:space="preserve"> </w:t>
      </w:r>
      <w:proofErr w:type="spellStart"/>
      <w:r>
        <w:rPr>
          <w:i/>
          <w:lang w:val="en-US"/>
        </w:rPr>
        <w:t>m</w:t>
      </w:r>
      <w:r>
        <w:rPr>
          <w:i/>
          <w:vertAlign w:val="subscript"/>
          <w:lang w:val="en-US"/>
        </w:rPr>
        <w:t>n</w:t>
      </w:r>
      <w:proofErr w:type="spellEnd"/>
      <w:r>
        <w:rPr>
          <w:lang w:val="en-US"/>
        </w:rPr>
        <w:t xml:space="preserve"> </w:t>
      </w:r>
      <w:r>
        <w:t xml:space="preserve">- масса паров, испарившихся с поверхности разлива нефтепродукта, кг. </w:t>
      </w:r>
    </w:p>
    <w:p w:rsidR="00C33EE6" w:rsidRDefault="00586869">
      <w:pPr>
        <w:spacing w:after="120"/>
        <w:jc w:val="right"/>
        <w:rPr>
          <w:i/>
        </w:rPr>
      </w:pPr>
      <w:r>
        <w:rPr>
          <w:i/>
          <w:spacing w:val="40"/>
        </w:rPr>
        <w:t>Таблица</w:t>
      </w:r>
      <w:r>
        <w:rPr>
          <w:i/>
        </w:rPr>
        <w:t xml:space="preserve"> 3.1</w:t>
      </w:r>
    </w:p>
    <w:p w:rsidR="00C33EE6" w:rsidRDefault="00586869">
      <w:pPr>
        <w:spacing w:after="120"/>
        <w:jc w:val="center"/>
        <w:rPr>
          <w:b/>
        </w:rPr>
      </w:pPr>
      <w:r>
        <w:rPr>
          <w:b/>
        </w:rPr>
        <w:t>Зоны опасного избыточного давления при испарении бензина с поверхности разлива</w:t>
      </w:r>
    </w:p>
    <w:tbl>
      <w:tblPr>
        <w:tblW w:w="0" w:type="auto"/>
        <w:jc w:val="center"/>
        <w:tblInd w:w="40" w:type="dxa"/>
        <w:tblBorders>
          <w:top w:val="single" w:sz="6" w:space="0" w:color="auto"/>
          <w:left w:val="single" w:sz="6" w:space="0" w:color="auto"/>
          <w:bottom w:val="single" w:sz="6" w:space="0" w:color="auto"/>
          <w:right w:val="single" w:sz="6" w:space="0" w:color="auto"/>
        </w:tblBorders>
        <w:tblLayout w:type="fixed"/>
        <w:tblCellMar>
          <w:left w:w="28" w:type="dxa"/>
          <w:right w:w="28" w:type="dxa"/>
        </w:tblCellMar>
        <w:tblLook w:val="0000" w:firstRow="0" w:lastRow="0" w:firstColumn="0" w:lastColumn="0" w:noHBand="0" w:noVBand="0"/>
      </w:tblPr>
      <w:tblGrid>
        <w:gridCol w:w="2099"/>
        <w:gridCol w:w="2099"/>
        <w:gridCol w:w="2099"/>
      </w:tblGrid>
      <w:tr w:rsidR="00C33EE6" w:rsidTr="00A8592F">
        <w:trPr>
          <w:jc w:val="center"/>
        </w:trPr>
        <w:tc>
          <w:tcPr>
            <w:tcW w:w="2099" w:type="dxa"/>
          </w:tcPr>
          <w:p w:rsidR="00C33EE6" w:rsidRDefault="00586869">
            <w:pPr>
              <w:jc w:val="center"/>
            </w:pPr>
            <w:r>
              <w:t>Вместимость резервуара, м</w:t>
            </w:r>
            <w:r>
              <w:rPr>
                <w:vertAlign w:val="superscript"/>
              </w:rPr>
              <w:t>3</w:t>
            </w:r>
          </w:p>
        </w:tc>
        <w:tc>
          <w:tcPr>
            <w:tcW w:w="2099" w:type="dxa"/>
          </w:tcPr>
          <w:p w:rsidR="00C33EE6" w:rsidRDefault="00586869">
            <w:pPr>
              <w:jc w:val="center"/>
              <w:rPr>
                <w:lang w:val="en-US"/>
              </w:rPr>
            </w:pPr>
            <w:r>
              <w:t>Площадь разлива, м</w:t>
            </w:r>
            <w:proofErr w:type="gramStart"/>
            <w:r>
              <w:rPr>
                <w:vertAlign w:val="superscript"/>
              </w:rPr>
              <w:t>2</w:t>
            </w:r>
            <w:proofErr w:type="gramEnd"/>
          </w:p>
        </w:tc>
        <w:tc>
          <w:tcPr>
            <w:tcW w:w="2099" w:type="dxa"/>
          </w:tcPr>
          <w:p w:rsidR="00C33EE6" w:rsidRDefault="00586869">
            <w:pPr>
              <w:jc w:val="center"/>
              <w:rPr>
                <w:lang w:val="en-US"/>
              </w:rPr>
            </w:pPr>
            <w:r>
              <w:t xml:space="preserve">Радиус опасной зоны избыточного давления, </w:t>
            </w:r>
            <w:proofErr w:type="gramStart"/>
            <w:r>
              <w:t>м</w:t>
            </w:r>
            <w:proofErr w:type="gramEnd"/>
          </w:p>
        </w:tc>
      </w:tr>
      <w:tr w:rsidR="00C33EE6" w:rsidTr="00A8592F">
        <w:trPr>
          <w:jc w:val="center"/>
        </w:trPr>
        <w:tc>
          <w:tcPr>
            <w:tcW w:w="2099" w:type="dxa"/>
          </w:tcPr>
          <w:p w:rsidR="00C33EE6" w:rsidRDefault="00586869">
            <w:pPr>
              <w:jc w:val="center"/>
            </w:pPr>
            <w:r>
              <w:t>100</w:t>
            </w:r>
          </w:p>
        </w:tc>
        <w:tc>
          <w:tcPr>
            <w:tcW w:w="2099" w:type="dxa"/>
          </w:tcPr>
          <w:p w:rsidR="00C33EE6" w:rsidRDefault="00586869">
            <w:pPr>
              <w:jc w:val="center"/>
            </w:pPr>
            <w:r>
              <w:rPr>
                <w:u w:val="single"/>
              </w:rPr>
              <w:t>450</w:t>
            </w:r>
          </w:p>
          <w:p w:rsidR="00C33EE6" w:rsidRDefault="00586869">
            <w:pPr>
              <w:jc w:val="center"/>
            </w:pPr>
            <w:r>
              <w:t>1080</w:t>
            </w:r>
          </w:p>
        </w:tc>
        <w:tc>
          <w:tcPr>
            <w:tcW w:w="2099" w:type="dxa"/>
          </w:tcPr>
          <w:p w:rsidR="00C33EE6" w:rsidRDefault="00586869">
            <w:pPr>
              <w:jc w:val="center"/>
            </w:pPr>
            <w:r>
              <w:rPr>
                <w:u w:val="single"/>
              </w:rPr>
              <w:t>76</w:t>
            </w:r>
          </w:p>
          <w:p w:rsidR="00C33EE6" w:rsidRDefault="00586869">
            <w:pPr>
              <w:jc w:val="center"/>
            </w:pPr>
            <w:r>
              <w:t>136</w:t>
            </w:r>
          </w:p>
        </w:tc>
      </w:tr>
      <w:tr w:rsidR="00C33EE6" w:rsidTr="00A8592F">
        <w:trPr>
          <w:jc w:val="center"/>
        </w:trPr>
        <w:tc>
          <w:tcPr>
            <w:tcW w:w="2099" w:type="dxa"/>
          </w:tcPr>
          <w:p w:rsidR="00C33EE6" w:rsidRDefault="00586869">
            <w:pPr>
              <w:jc w:val="center"/>
            </w:pPr>
            <w:r>
              <w:t>200</w:t>
            </w:r>
          </w:p>
        </w:tc>
        <w:tc>
          <w:tcPr>
            <w:tcW w:w="2099" w:type="dxa"/>
          </w:tcPr>
          <w:p w:rsidR="00C33EE6" w:rsidRDefault="00586869">
            <w:pPr>
              <w:jc w:val="center"/>
            </w:pPr>
            <w:r>
              <w:rPr>
                <w:u w:val="single"/>
              </w:rPr>
              <w:t>900</w:t>
            </w:r>
          </w:p>
          <w:p w:rsidR="00C33EE6" w:rsidRDefault="00586869">
            <w:pPr>
              <w:jc w:val="center"/>
            </w:pPr>
            <w:r>
              <w:t>2160</w:t>
            </w:r>
          </w:p>
        </w:tc>
        <w:tc>
          <w:tcPr>
            <w:tcW w:w="2099" w:type="dxa"/>
          </w:tcPr>
          <w:p w:rsidR="00C33EE6" w:rsidRDefault="00586869">
            <w:pPr>
              <w:jc w:val="center"/>
              <w:rPr>
                <w:u w:val="single"/>
              </w:rPr>
            </w:pPr>
            <w:r>
              <w:rPr>
                <w:u w:val="single"/>
              </w:rPr>
              <w:t>122</w:t>
            </w:r>
          </w:p>
          <w:p w:rsidR="00C33EE6" w:rsidRDefault="00586869">
            <w:pPr>
              <w:jc w:val="center"/>
            </w:pPr>
            <w:r>
              <w:t>217</w:t>
            </w:r>
          </w:p>
        </w:tc>
      </w:tr>
      <w:tr w:rsidR="00C33EE6" w:rsidTr="00A8592F">
        <w:trPr>
          <w:jc w:val="center"/>
        </w:trPr>
        <w:tc>
          <w:tcPr>
            <w:tcW w:w="2099" w:type="dxa"/>
          </w:tcPr>
          <w:p w:rsidR="00C33EE6" w:rsidRDefault="00586869">
            <w:pPr>
              <w:jc w:val="center"/>
            </w:pPr>
            <w:r>
              <w:t>300</w:t>
            </w:r>
          </w:p>
        </w:tc>
        <w:tc>
          <w:tcPr>
            <w:tcW w:w="2099" w:type="dxa"/>
          </w:tcPr>
          <w:p w:rsidR="00C33EE6" w:rsidRDefault="00586869">
            <w:pPr>
              <w:jc w:val="center"/>
            </w:pPr>
            <w:r>
              <w:rPr>
                <w:u w:val="single"/>
              </w:rPr>
              <w:t>1350</w:t>
            </w:r>
          </w:p>
          <w:p w:rsidR="00C33EE6" w:rsidRDefault="00586869">
            <w:pPr>
              <w:jc w:val="center"/>
            </w:pPr>
            <w:r>
              <w:t>3240</w:t>
            </w:r>
          </w:p>
        </w:tc>
        <w:tc>
          <w:tcPr>
            <w:tcW w:w="2099" w:type="dxa"/>
          </w:tcPr>
          <w:p w:rsidR="00C33EE6" w:rsidRDefault="00586869">
            <w:pPr>
              <w:jc w:val="center"/>
            </w:pPr>
            <w:r>
              <w:rPr>
                <w:u w:val="single"/>
              </w:rPr>
              <w:t>159</w:t>
            </w:r>
          </w:p>
          <w:p w:rsidR="00C33EE6" w:rsidRDefault="00586869">
            <w:pPr>
              <w:jc w:val="center"/>
            </w:pPr>
            <w:r>
              <w:t>283</w:t>
            </w:r>
          </w:p>
        </w:tc>
      </w:tr>
      <w:tr w:rsidR="00C33EE6" w:rsidTr="00A8592F">
        <w:trPr>
          <w:jc w:val="center"/>
        </w:trPr>
        <w:tc>
          <w:tcPr>
            <w:tcW w:w="2099" w:type="dxa"/>
          </w:tcPr>
          <w:p w:rsidR="00C33EE6" w:rsidRDefault="00586869">
            <w:pPr>
              <w:jc w:val="center"/>
              <w:rPr>
                <w:i/>
                <w:lang w:val="en-US"/>
              </w:rPr>
            </w:pPr>
            <w:r>
              <w:t>400</w:t>
            </w:r>
          </w:p>
        </w:tc>
        <w:tc>
          <w:tcPr>
            <w:tcW w:w="2099" w:type="dxa"/>
          </w:tcPr>
          <w:p w:rsidR="00C33EE6" w:rsidRDefault="00586869">
            <w:pPr>
              <w:jc w:val="center"/>
            </w:pPr>
            <w:r>
              <w:rPr>
                <w:u w:val="single"/>
              </w:rPr>
              <w:t>1800</w:t>
            </w:r>
          </w:p>
          <w:p w:rsidR="00C33EE6" w:rsidRDefault="00586869">
            <w:pPr>
              <w:jc w:val="center"/>
            </w:pPr>
            <w:r>
              <w:t>4320</w:t>
            </w:r>
          </w:p>
        </w:tc>
        <w:tc>
          <w:tcPr>
            <w:tcW w:w="2099" w:type="dxa"/>
          </w:tcPr>
          <w:p w:rsidR="00C33EE6" w:rsidRDefault="00586869">
            <w:pPr>
              <w:jc w:val="center"/>
            </w:pPr>
            <w:r>
              <w:rPr>
                <w:u w:val="single"/>
              </w:rPr>
              <w:t>193</w:t>
            </w:r>
          </w:p>
          <w:p w:rsidR="00C33EE6" w:rsidRDefault="00586869">
            <w:pPr>
              <w:jc w:val="center"/>
            </w:pPr>
            <w:r>
              <w:t>341</w:t>
            </w:r>
          </w:p>
        </w:tc>
      </w:tr>
      <w:tr w:rsidR="00C33EE6" w:rsidTr="00A8592F">
        <w:trPr>
          <w:jc w:val="center"/>
        </w:trPr>
        <w:tc>
          <w:tcPr>
            <w:tcW w:w="2099" w:type="dxa"/>
          </w:tcPr>
          <w:p w:rsidR="00C33EE6" w:rsidRDefault="00586869">
            <w:pPr>
              <w:jc w:val="center"/>
              <w:rPr>
                <w:lang w:val="en-US"/>
              </w:rPr>
            </w:pPr>
            <w:r>
              <w:t>700</w:t>
            </w:r>
          </w:p>
        </w:tc>
        <w:tc>
          <w:tcPr>
            <w:tcW w:w="2099" w:type="dxa"/>
          </w:tcPr>
          <w:p w:rsidR="00C33EE6" w:rsidRDefault="00586869">
            <w:pPr>
              <w:jc w:val="center"/>
            </w:pPr>
            <w:r>
              <w:rPr>
                <w:u w:val="single"/>
              </w:rPr>
              <w:t>3150</w:t>
            </w:r>
          </w:p>
          <w:p w:rsidR="00C33EE6" w:rsidRDefault="00586869">
            <w:pPr>
              <w:jc w:val="center"/>
            </w:pPr>
            <w:r>
              <w:t>7560</w:t>
            </w:r>
          </w:p>
        </w:tc>
        <w:tc>
          <w:tcPr>
            <w:tcW w:w="2099" w:type="dxa"/>
          </w:tcPr>
          <w:p w:rsidR="00C33EE6" w:rsidRDefault="00586869">
            <w:pPr>
              <w:jc w:val="center"/>
              <w:rPr>
                <w:i/>
              </w:rPr>
            </w:pPr>
            <w:r>
              <w:rPr>
                <w:u w:val="single"/>
              </w:rPr>
              <w:t>278</w:t>
            </w:r>
          </w:p>
          <w:p w:rsidR="00C33EE6" w:rsidRDefault="00586869">
            <w:pPr>
              <w:jc w:val="center"/>
            </w:pPr>
            <w:r>
              <w:t>480</w:t>
            </w:r>
          </w:p>
        </w:tc>
      </w:tr>
      <w:tr w:rsidR="00C33EE6" w:rsidTr="00A8592F">
        <w:trPr>
          <w:jc w:val="center"/>
        </w:trPr>
        <w:tc>
          <w:tcPr>
            <w:tcW w:w="2099" w:type="dxa"/>
          </w:tcPr>
          <w:p w:rsidR="00C33EE6" w:rsidRDefault="00586869">
            <w:pPr>
              <w:jc w:val="center"/>
              <w:rPr>
                <w:lang w:val="en-US"/>
              </w:rPr>
            </w:pPr>
            <w:r>
              <w:t>1000</w:t>
            </w:r>
          </w:p>
        </w:tc>
        <w:tc>
          <w:tcPr>
            <w:tcW w:w="2099" w:type="dxa"/>
          </w:tcPr>
          <w:p w:rsidR="00C33EE6" w:rsidRDefault="00586869">
            <w:pPr>
              <w:jc w:val="center"/>
            </w:pPr>
            <w:r>
              <w:rPr>
                <w:u w:val="single"/>
              </w:rPr>
              <w:t>4500</w:t>
            </w:r>
          </w:p>
          <w:p w:rsidR="00C33EE6" w:rsidRDefault="00586869">
            <w:pPr>
              <w:jc w:val="center"/>
              <w:rPr>
                <w:lang w:val="en-US"/>
              </w:rPr>
            </w:pPr>
            <w:r>
              <w:rPr>
                <w:lang w:val="en-US"/>
              </w:rPr>
              <w:t>l</w:t>
            </w:r>
            <w:r>
              <w:t>0800</w:t>
            </w:r>
          </w:p>
        </w:tc>
        <w:tc>
          <w:tcPr>
            <w:tcW w:w="2099" w:type="dxa"/>
          </w:tcPr>
          <w:p w:rsidR="00C33EE6" w:rsidRDefault="00586869">
            <w:pPr>
              <w:jc w:val="center"/>
            </w:pPr>
            <w:r>
              <w:rPr>
                <w:u w:val="single"/>
              </w:rPr>
              <w:t>349</w:t>
            </w:r>
          </w:p>
          <w:p w:rsidR="00C33EE6" w:rsidRDefault="00586869">
            <w:pPr>
              <w:jc w:val="center"/>
            </w:pPr>
            <w:r>
              <w:t>685</w:t>
            </w:r>
          </w:p>
        </w:tc>
      </w:tr>
      <w:tr w:rsidR="00C33EE6" w:rsidTr="00A8592F">
        <w:trPr>
          <w:jc w:val="center"/>
        </w:trPr>
        <w:tc>
          <w:tcPr>
            <w:tcW w:w="2099" w:type="dxa"/>
          </w:tcPr>
          <w:p w:rsidR="00C33EE6" w:rsidRDefault="00586869">
            <w:pPr>
              <w:jc w:val="center"/>
              <w:rPr>
                <w:lang w:val="en-US"/>
              </w:rPr>
            </w:pPr>
            <w:r>
              <w:t>2000</w:t>
            </w:r>
          </w:p>
        </w:tc>
        <w:tc>
          <w:tcPr>
            <w:tcW w:w="2099" w:type="dxa"/>
          </w:tcPr>
          <w:p w:rsidR="00C33EE6" w:rsidRDefault="00586869">
            <w:pPr>
              <w:jc w:val="center"/>
            </w:pPr>
            <w:r>
              <w:rPr>
                <w:u w:val="single"/>
              </w:rPr>
              <w:t>9000</w:t>
            </w:r>
          </w:p>
          <w:p w:rsidR="00C33EE6" w:rsidRDefault="00586869">
            <w:pPr>
              <w:jc w:val="center"/>
            </w:pPr>
            <w:r>
              <w:t>21600</w:t>
            </w:r>
          </w:p>
        </w:tc>
        <w:tc>
          <w:tcPr>
            <w:tcW w:w="2099" w:type="dxa"/>
          </w:tcPr>
          <w:p w:rsidR="00C33EE6" w:rsidRDefault="00586869">
            <w:pPr>
              <w:jc w:val="center"/>
            </w:pPr>
            <w:r>
              <w:rPr>
                <w:u w:val="single"/>
              </w:rPr>
              <w:t>531</w:t>
            </w:r>
          </w:p>
          <w:p w:rsidR="00C33EE6" w:rsidRDefault="00586869">
            <w:pPr>
              <w:jc w:val="center"/>
            </w:pPr>
            <w:r>
              <w:t>863</w:t>
            </w:r>
          </w:p>
        </w:tc>
      </w:tr>
      <w:tr w:rsidR="00C33EE6" w:rsidTr="00A8592F">
        <w:trPr>
          <w:jc w:val="center"/>
        </w:trPr>
        <w:tc>
          <w:tcPr>
            <w:tcW w:w="2099" w:type="dxa"/>
          </w:tcPr>
          <w:p w:rsidR="00C33EE6" w:rsidRDefault="00586869">
            <w:pPr>
              <w:jc w:val="center"/>
              <w:rPr>
                <w:lang w:val="en-US"/>
              </w:rPr>
            </w:pPr>
            <w:r>
              <w:t>3000</w:t>
            </w:r>
          </w:p>
        </w:tc>
        <w:tc>
          <w:tcPr>
            <w:tcW w:w="2099" w:type="dxa"/>
          </w:tcPr>
          <w:p w:rsidR="00C33EE6" w:rsidRDefault="00586869">
            <w:pPr>
              <w:jc w:val="center"/>
            </w:pPr>
            <w:r>
              <w:rPr>
                <w:u w:val="single"/>
                <w:lang w:val="en-US"/>
              </w:rPr>
              <w:t>1350</w:t>
            </w:r>
            <w:r>
              <w:rPr>
                <w:u w:val="single"/>
              </w:rPr>
              <w:t>0</w:t>
            </w:r>
          </w:p>
          <w:p w:rsidR="00C33EE6" w:rsidRDefault="00586869">
            <w:pPr>
              <w:jc w:val="center"/>
              <w:rPr>
                <w:i/>
                <w:lang w:val="en-US"/>
              </w:rPr>
            </w:pPr>
            <w:r>
              <w:t>32400</w:t>
            </w:r>
          </w:p>
        </w:tc>
        <w:tc>
          <w:tcPr>
            <w:tcW w:w="2099" w:type="dxa"/>
          </w:tcPr>
          <w:p w:rsidR="00C33EE6" w:rsidRDefault="00586869">
            <w:pPr>
              <w:jc w:val="center"/>
            </w:pPr>
            <w:r>
              <w:rPr>
                <w:u w:val="single"/>
              </w:rPr>
              <w:t>738</w:t>
            </w:r>
          </w:p>
          <w:p w:rsidR="00C33EE6" w:rsidRDefault="00586869">
            <w:pPr>
              <w:jc w:val="center"/>
            </w:pPr>
            <w:r>
              <w:t>988</w:t>
            </w:r>
          </w:p>
        </w:tc>
      </w:tr>
      <w:tr w:rsidR="00C33EE6" w:rsidTr="00A8592F">
        <w:trPr>
          <w:jc w:val="center"/>
        </w:trPr>
        <w:tc>
          <w:tcPr>
            <w:tcW w:w="2099" w:type="dxa"/>
          </w:tcPr>
          <w:p w:rsidR="00C33EE6" w:rsidRDefault="00586869">
            <w:pPr>
              <w:jc w:val="center"/>
              <w:rPr>
                <w:i/>
                <w:lang w:val="en-US"/>
              </w:rPr>
            </w:pPr>
            <w:r>
              <w:t>5000</w:t>
            </w:r>
          </w:p>
        </w:tc>
        <w:tc>
          <w:tcPr>
            <w:tcW w:w="2099" w:type="dxa"/>
          </w:tcPr>
          <w:p w:rsidR="00C33EE6" w:rsidRDefault="00586869">
            <w:pPr>
              <w:jc w:val="center"/>
            </w:pPr>
            <w:r>
              <w:rPr>
                <w:u w:val="single"/>
              </w:rPr>
              <w:t>22500</w:t>
            </w:r>
          </w:p>
          <w:p w:rsidR="00C33EE6" w:rsidRDefault="00586869">
            <w:pPr>
              <w:jc w:val="center"/>
            </w:pPr>
            <w:r>
              <w:t>54000</w:t>
            </w:r>
          </w:p>
        </w:tc>
        <w:tc>
          <w:tcPr>
            <w:tcW w:w="2099" w:type="dxa"/>
          </w:tcPr>
          <w:p w:rsidR="00C33EE6" w:rsidRDefault="00586869">
            <w:pPr>
              <w:jc w:val="center"/>
              <w:rPr>
                <w:u w:val="single"/>
              </w:rPr>
            </w:pPr>
            <w:r>
              <w:rPr>
                <w:u w:val="single"/>
              </w:rPr>
              <w:t>875</w:t>
            </w:r>
          </w:p>
          <w:p w:rsidR="00C33EE6" w:rsidRDefault="00586869">
            <w:pPr>
              <w:jc w:val="center"/>
            </w:pPr>
            <w:r>
              <w:t>1238</w:t>
            </w:r>
          </w:p>
        </w:tc>
      </w:tr>
      <w:tr w:rsidR="00C33EE6" w:rsidTr="00A8592F">
        <w:trPr>
          <w:jc w:val="center"/>
        </w:trPr>
        <w:tc>
          <w:tcPr>
            <w:tcW w:w="2099" w:type="dxa"/>
          </w:tcPr>
          <w:p w:rsidR="00C33EE6" w:rsidRDefault="00586869">
            <w:pPr>
              <w:jc w:val="center"/>
            </w:pPr>
            <w:r>
              <w:t>10000</w:t>
            </w:r>
          </w:p>
        </w:tc>
        <w:tc>
          <w:tcPr>
            <w:tcW w:w="2099" w:type="dxa"/>
          </w:tcPr>
          <w:p w:rsidR="00C33EE6" w:rsidRDefault="00586869">
            <w:pPr>
              <w:jc w:val="center"/>
              <w:rPr>
                <w:u w:val="single"/>
              </w:rPr>
            </w:pPr>
            <w:r>
              <w:rPr>
                <w:u w:val="single"/>
              </w:rPr>
              <w:t>45000</w:t>
            </w:r>
          </w:p>
          <w:p w:rsidR="00C33EE6" w:rsidRDefault="00586869">
            <w:pPr>
              <w:jc w:val="center"/>
            </w:pPr>
            <w:r>
              <w:t>108000</w:t>
            </w:r>
          </w:p>
        </w:tc>
        <w:tc>
          <w:tcPr>
            <w:tcW w:w="2099" w:type="dxa"/>
          </w:tcPr>
          <w:p w:rsidR="00C33EE6" w:rsidRDefault="00586869">
            <w:pPr>
              <w:jc w:val="center"/>
            </w:pPr>
            <w:r>
              <w:rPr>
                <w:u w:val="single"/>
              </w:rPr>
              <w:t>1164</w:t>
            </w:r>
          </w:p>
          <w:p w:rsidR="00C33EE6" w:rsidRDefault="00586869">
            <w:pPr>
              <w:jc w:val="center"/>
            </w:pPr>
            <w:r>
              <w:t>1560</w:t>
            </w:r>
          </w:p>
        </w:tc>
      </w:tr>
    </w:tbl>
    <w:p w:rsidR="00C33EE6" w:rsidRDefault="00586869">
      <w:pPr>
        <w:spacing w:before="120" w:after="120"/>
        <w:ind w:firstLine="284"/>
        <w:jc w:val="both"/>
      </w:pPr>
      <w:r>
        <w:rPr>
          <w:spacing w:val="40"/>
        </w:rPr>
        <w:t>Примечание</w:t>
      </w:r>
      <w:r>
        <w:t xml:space="preserve">. Критерий опасного избыточного давления 5 кПа. Расчетная температура 28 </w:t>
      </w:r>
      <w:r>
        <w:sym w:font="Symbol" w:char="F0B0"/>
      </w:r>
      <w:r>
        <w:t>С</w:t>
      </w:r>
      <w:r>
        <w:rPr>
          <w:i/>
        </w:rPr>
        <w:t>.</w:t>
      </w:r>
      <w:r>
        <w:t xml:space="preserve"> Продолжительность испарения - 1 ч.</w:t>
      </w:r>
    </w:p>
    <w:p w:rsidR="00C33EE6" w:rsidRDefault="00586869">
      <w:pPr>
        <w:ind w:firstLine="284"/>
        <w:jc w:val="both"/>
      </w:pPr>
      <w:r>
        <w:t xml:space="preserve">Массу испарившихся паров определяют по формуле </w:t>
      </w:r>
    </w:p>
    <w:p w:rsidR="00C33EE6" w:rsidRDefault="00586869">
      <w:pPr>
        <w:spacing w:before="120" w:after="120"/>
        <w:jc w:val="center"/>
      </w:pPr>
      <w:proofErr w:type="spellStart"/>
      <w:proofErr w:type="gramStart"/>
      <w:r>
        <w:rPr>
          <w:i/>
          <w:lang w:val="en-US"/>
        </w:rPr>
        <w:lastRenderedPageBreak/>
        <w:t>m</w:t>
      </w:r>
      <w:r>
        <w:rPr>
          <w:i/>
          <w:vertAlign w:val="subscript"/>
          <w:lang w:val="en-US"/>
        </w:rPr>
        <w:t>n</w:t>
      </w:r>
      <w:proofErr w:type="spellEnd"/>
      <w:proofErr w:type="gramEnd"/>
      <w:r>
        <w:t xml:space="preserve"> </w:t>
      </w:r>
      <w:r>
        <w:rPr>
          <w:i/>
        </w:rPr>
        <w:t>=</w:t>
      </w:r>
      <w:r>
        <w:rPr>
          <w:i/>
          <w:lang w:val="en-US"/>
        </w:rPr>
        <w:t xml:space="preserve"> </w:t>
      </w:r>
      <w:proofErr w:type="spellStart"/>
      <w:r>
        <w:rPr>
          <w:i/>
          <w:lang w:val="en-US"/>
        </w:rPr>
        <w:t>Jn</w:t>
      </w:r>
      <w:proofErr w:type="spellEnd"/>
      <w:r>
        <w:t xml:space="preserve"> </w:t>
      </w:r>
      <w:r>
        <w:sym w:font="Symbol" w:char="F0D7"/>
      </w:r>
      <w:r>
        <w:rPr>
          <w:lang w:val="en-US"/>
        </w:rPr>
        <w:t xml:space="preserve"> </w:t>
      </w:r>
      <w:r>
        <w:rPr>
          <w:i/>
          <w:lang w:val="en-US"/>
        </w:rPr>
        <w:sym w:font="Symbol" w:char="F074"/>
      </w:r>
      <w:r>
        <w:t>,</w:t>
      </w:r>
    </w:p>
    <w:p w:rsidR="00C33EE6" w:rsidRDefault="00586869">
      <w:pPr>
        <w:jc w:val="both"/>
      </w:pPr>
      <w:r>
        <w:t xml:space="preserve">где </w:t>
      </w:r>
      <w:r>
        <w:rPr>
          <w:i/>
        </w:rPr>
        <w:sym w:font="Symbol" w:char="F074"/>
      </w:r>
      <w:r>
        <w:t xml:space="preserve"> - продолжительность испарения, </w:t>
      </w:r>
      <w:proofErr w:type="gramStart"/>
      <w:r>
        <w:t>с</w:t>
      </w:r>
      <w:proofErr w:type="gramEnd"/>
      <w:r>
        <w:t>.</w:t>
      </w:r>
    </w:p>
    <w:p w:rsidR="00C33EE6" w:rsidRDefault="00586869">
      <w:pPr>
        <w:ind w:firstLine="284"/>
        <w:jc w:val="both"/>
      </w:pPr>
      <w:proofErr w:type="gramStart"/>
      <w:r>
        <w:t>Продолжительность испарения</w:t>
      </w:r>
      <w:r>
        <w:rPr>
          <w:lang w:val="en-US"/>
        </w:rPr>
        <w:t xml:space="preserve"> </w:t>
      </w:r>
      <w:r>
        <w:t>допускается принимать равной 1 ч</w:t>
      </w:r>
      <w:r>
        <w:rPr>
          <w:lang w:val="en-US"/>
        </w:rPr>
        <w:t xml:space="preserve"> </w:t>
      </w:r>
      <w:r>
        <w:t>при расчете испарения с зоны разлива на случаи полного разрушения резервуара и 8 ч при испарении с площади разлива в обваловании.</w:t>
      </w:r>
      <w:proofErr w:type="gramEnd"/>
    </w:p>
    <w:p w:rsidR="00C33EE6" w:rsidRDefault="00586869">
      <w:pPr>
        <w:ind w:firstLine="284"/>
        <w:jc w:val="both"/>
      </w:pPr>
      <w:r>
        <w:t>Интенсивность испарения (</w:t>
      </w:r>
      <w:proofErr w:type="spellStart"/>
      <w:r>
        <w:rPr>
          <w:i/>
          <w:lang w:val="en-US"/>
        </w:rPr>
        <w:t>J</w:t>
      </w:r>
      <w:r>
        <w:rPr>
          <w:i/>
          <w:vertAlign w:val="subscript"/>
          <w:lang w:val="en-US"/>
        </w:rPr>
        <w:t>n</w:t>
      </w:r>
      <w:proofErr w:type="spellEnd"/>
      <w:r>
        <w:t>) определяют по методике, изложенной в разделе при расчете зон взрывоопасных концентраций при испарении с поверхности разлива нефтепродукта. Подвижность воздуха принимается равной нулю, а температура нефтепродукта - среднемесячной температуре окружающей среды для июля.</w:t>
      </w:r>
    </w:p>
    <w:p w:rsidR="00C33EE6" w:rsidRDefault="00586869">
      <w:pPr>
        <w:ind w:firstLine="284"/>
        <w:jc w:val="both"/>
      </w:pPr>
      <w:r>
        <w:t>Степень разрушения зданий и сооружений определяет величина воздействия избыточного давления взрыва (</w:t>
      </w:r>
      <w:r>
        <w:sym w:font="Symbol" w:char="F044"/>
      </w:r>
      <w:r>
        <w:rPr>
          <w:i/>
        </w:rPr>
        <w:t>Р</w:t>
      </w:r>
      <w:r>
        <w:t xml:space="preserve">) (см. табл. 12). </w:t>
      </w:r>
    </w:p>
    <w:p w:rsidR="00C33EE6" w:rsidRDefault="00586869">
      <w:pPr>
        <w:spacing w:before="120" w:after="120"/>
        <w:jc w:val="right"/>
        <w:rPr>
          <w:i/>
        </w:rPr>
      </w:pPr>
      <w:r>
        <w:rPr>
          <w:i/>
          <w:spacing w:val="40"/>
        </w:rPr>
        <w:t>Таблица</w:t>
      </w:r>
      <w:r>
        <w:rPr>
          <w:i/>
        </w:rPr>
        <w:t xml:space="preserve"> 3.1</w:t>
      </w:r>
    </w:p>
    <w:p w:rsidR="00C33EE6" w:rsidRDefault="00586869">
      <w:pPr>
        <w:spacing w:after="120"/>
        <w:jc w:val="center"/>
        <w:rPr>
          <w:b/>
        </w:rPr>
      </w:pPr>
      <w:r>
        <w:rPr>
          <w:b/>
        </w:rPr>
        <w:t>Классификация опасных</w:t>
      </w:r>
      <w:r>
        <w:rPr>
          <w:b/>
          <w:lang w:val="en-US"/>
        </w:rPr>
        <w:t xml:space="preserve"> </w:t>
      </w:r>
      <w:r>
        <w:rPr>
          <w:b/>
        </w:rPr>
        <w:t>зон разрушений</w:t>
      </w:r>
    </w:p>
    <w:tbl>
      <w:tblPr>
        <w:tblW w:w="0" w:type="auto"/>
        <w:jc w:val="center"/>
        <w:tblInd w:w="4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981"/>
        <w:gridCol w:w="1134"/>
        <w:gridCol w:w="1134"/>
        <w:gridCol w:w="3048"/>
      </w:tblGrid>
      <w:tr w:rsidR="00C33EE6" w:rsidTr="00A8592F">
        <w:trPr>
          <w:jc w:val="center"/>
        </w:trPr>
        <w:tc>
          <w:tcPr>
            <w:tcW w:w="981" w:type="dxa"/>
          </w:tcPr>
          <w:p w:rsidR="00C33EE6" w:rsidRDefault="00586869">
            <w:pPr>
              <w:jc w:val="center"/>
              <w:rPr>
                <w:lang w:val="en-US"/>
              </w:rPr>
            </w:pPr>
            <w:r>
              <w:t>Класс зоны</w:t>
            </w:r>
          </w:p>
        </w:tc>
        <w:tc>
          <w:tcPr>
            <w:tcW w:w="1134" w:type="dxa"/>
          </w:tcPr>
          <w:p w:rsidR="00C33EE6" w:rsidRDefault="00586869">
            <w:pPr>
              <w:jc w:val="center"/>
              <w:rPr>
                <w:lang w:val="en-US"/>
              </w:rPr>
            </w:pPr>
            <w:r>
              <w:t xml:space="preserve">Коэффициент </w:t>
            </w:r>
            <w:r>
              <w:rPr>
                <w:i/>
              </w:rPr>
              <w:t>К</w:t>
            </w:r>
            <w:proofErr w:type="gramStart"/>
            <w:r>
              <w:rPr>
                <w:i/>
                <w:vertAlign w:val="subscript"/>
              </w:rPr>
              <w:t>1</w:t>
            </w:r>
            <w:proofErr w:type="gramEnd"/>
          </w:p>
        </w:tc>
        <w:tc>
          <w:tcPr>
            <w:tcW w:w="1134" w:type="dxa"/>
          </w:tcPr>
          <w:p w:rsidR="00C33EE6" w:rsidRDefault="00586869">
            <w:pPr>
              <w:jc w:val="center"/>
            </w:pPr>
            <w:r>
              <w:rPr>
                <w:lang w:val="en-US"/>
              </w:rPr>
              <w:sym w:font="Symbol" w:char="F044"/>
            </w:r>
            <w:proofErr w:type="gramStart"/>
            <w:r>
              <w:t>Р</w:t>
            </w:r>
            <w:proofErr w:type="gramEnd"/>
            <w:r>
              <w:t xml:space="preserve">, </w:t>
            </w:r>
          </w:p>
          <w:p w:rsidR="00C33EE6" w:rsidRDefault="00586869">
            <w:pPr>
              <w:jc w:val="center"/>
              <w:rPr>
                <w:lang w:val="en-US"/>
              </w:rPr>
            </w:pPr>
            <w:r>
              <w:t>кПа</w:t>
            </w:r>
          </w:p>
        </w:tc>
        <w:tc>
          <w:tcPr>
            <w:tcW w:w="3048" w:type="dxa"/>
          </w:tcPr>
          <w:p w:rsidR="00C33EE6" w:rsidRDefault="00586869">
            <w:pPr>
              <w:jc w:val="center"/>
            </w:pPr>
            <w:r>
              <w:t>Степень разрушения зданий и сооружений</w:t>
            </w:r>
          </w:p>
        </w:tc>
      </w:tr>
      <w:tr w:rsidR="00C33EE6" w:rsidTr="00A8592F">
        <w:trPr>
          <w:jc w:val="center"/>
        </w:trPr>
        <w:tc>
          <w:tcPr>
            <w:tcW w:w="981" w:type="dxa"/>
          </w:tcPr>
          <w:p w:rsidR="00C33EE6" w:rsidRDefault="00586869">
            <w:pPr>
              <w:jc w:val="center"/>
            </w:pPr>
            <w:r>
              <w:t>1</w:t>
            </w:r>
          </w:p>
        </w:tc>
        <w:tc>
          <w:tcPr>
            <w:tcW w:w="1134" w:type="dxa"/>
          </w:tcPr>
          <w:p w:rsidR="00C33EE6" w:rsidRDefault="00586869">
            <w:pPr>
              <w:jc w:val="center"/>
            </w:pPr>
            <w:r>
              <w:t>3,8</w:t>
            </w:r>
          </w:p>
        </w:tc>
        <w:tc>
          <w:tcPr>
            <w:tcW w:w="1134" w:type="dxa"/>
          </w:tcPr>
          <w:p w:rsidR="00C33EE6" w:rsidRDefault="00586869">
            <w:pPr>
              <w:jc w:val="center"/>
            </w:pPr>
            <w:r>
              <w:sym w:font="Symbol" w:char="F0B3"/>
            </w:r>
            <w:r>
              <w:t xml:space="preserve"> 100</w:t>
            </w:r>
          </w:p>
        </w:tc>
        <w:tc>
          <w:tcPr>
            <w:tcW w:w="3048" w:type="dxa"/>
          </w:tcPr>
          <w:p w:rsidR="00C33EE6" w:rsidRDefault="00586869">
            <w:pPr>
              <w:jc w:val="both"/>
            </w:pPr>
            <w:r>
              <w:t>Полное разрушение</w:t>
            </w:r>
          </w:p>
        </w:tc>
      </w:tr>
      <w:tr w:rsidR="00C33EE6" w:rsidTr="00A8592F">
        <w:trPr>
          <w:jc w:val="center"/>
        </w:trPr>
        <w:tc>
          <w:tcPr>
            <w:tcW w:w="981" w:type="dxa"/>
          </w:tcPr>
          <w:p w:rsidR="00C33EE6" w:rsidRDefault="00586869">
            <w:pPr>
              <w:jc w:val="center"/>
            </w:pPr>
            <w:r>
              <w:t>2</w:t>
            </w:r>
          </w:p>
        </w:tc>
        <w:tc>
          <w:tcPr>
            <w:tcW w:w="1134" w:type="dxa"/>
          </w:tcPr>
          <w:p w:rsidR="00C33EE6" w:rsidRDefault="00586869">
            <w:pPr>
              <w:jc w:val="center"/>
              <w:rPr>
                <w:lang w:val="en-US"/>
              </w:rPr>
            </w:pPr>
            <w:r>
              <w:rPr>
                <w:lang w:val="en-US"/>
              </w:rPr>
              <w:t>5</w:t>
            </w:r>
            <w:r>
              <w:t>,6</w:t>
            </w:r>
          </w:p>
        </w:tc>
        <w:tc>
          <w:tcPr>
            <w:tcW w:w="1134" w:type="dxa"/>
          </w:tcPr>
          <w:p w:rsidR="00C33EE6" w:rsidRDefault="00586869">
            <w:pPr>
              <w:jc w:val="center"/>
              <w:rPr>
                <w:i/>
                <w:lang w:val="en-US"/>
              </w:rPr>
            </w:pPr>
            <w:r>
              <w:t>53</w:t>
            </w:r>
          </w:p>
        </w:tc>
        <w:tc>
          <w:tcPr>
            <w:tcW w:w="3048" w:type="dxa"/>
          </w:tcPr>
          <w:p w:rsidR="00C33EE6" w:rsidRDefault="00586869">
            <w:pPr>
              <w:jc w:val="both"/>
            </w:pPr>
            <w:r>
              <w:t>Сильное повреждение - 50 % полного разрушения</w:t>
            </w:r>
          </w:p>
        </w:tc>
      </w:tr>
      <w:tr w:rsidR="00C33EE6" w:rsidTr="00A8592F">
        <w:trPr>
          <w:jc w:val="center"/>
        </w:trPr>
        <w:tc>
          <w:tcPr>
            <w:tcW w:w="981" w:type="dxa"/>
          </w:tcPr>
          <w:p w:rsidR="00C33EE6" w:rsidRDefault="00586869">
            <w:pPr>
              <w:jc w:val="center"/>
            </w:pPr>
            <w:r>
              <w:t>3</w:t>
            </w:r>
          </w:p>
        </w:tc>
        <w:tc>
          <w:tcPr>
            <w:tcW w:w="1134" w:type="dxa"/>
          </w:tcPr>
          <w:p w:rsidR="00C33EE6" w:rsidRDefault="00586869">
            <w:pPr>
              <w:jc w:val="center"/>
            </w:pPr>
            <w:r>
              <w:t>9,6</w:t>
            </w:r>
          </w:p>
        </w:tc>
        <w:tc>
          <w:tcPr>
            <w:tcW w:w="1134" w:type="dxa"/>
          </w:tcPr>
          <w:p w:rsidR="00C33EE6" w:rsidRDefault="00586869">
            <w:pPr>
              <w:jc w:val="center"/>
              <w:rPr>
                <w:lang w:val="en-US"/>
              </w:rPr>
            </w:pPr>
            <w:r>
              <w:t>28</w:t>
            </w:r>
          </w:p>
        </w:tc>
        <w:tc>
          <w:tcPr>
            <w:tcW w:w="3048" w:type="dxa"/>
          </w:tcPr>
          <w:p w:rsidR="00C33EE6" w:rsidRDefault="00586869">
            <w:pPr>
              <w:jc w:val="both"/>
            </w:pPr>
            <w:r>
              <w:t>Среднее повреждение -</w:t>
            </w:r>
            <w:r>
              <w:rPr>
                <w:lang w:val="en-US"/>
              </w:rPr>
              <w:t xml:space="preserve"> </w:t>
            </w:r>
            <w:r>
              <w:t>разрушение зданий без обрушения</w:t>
            </w:r>
          </w:p>
          <w:p w:rsidR="00C33EE6" w:rsidRDefault="00586869">
            <w:pPr>
              <w:jc w:val="both"/>
              <w:rPr>
                <w:lang w:val="en-US"/>
              </w:rPr>
            </w:pPr>
            <w:r>
              <w:t xml:space="preserve">Разрушаются резервуары нефтехранилищ </w:t>
            </w:r>
          </w:p>
        </w:tc>
      </w:tr>
      <w:tr w:rsidR="00C33EE6" w:rsidTr="00A8592F">
        <w:trPr>
          <w:jc w:val="center"/>
        </w:trPr>
        <w:tc>
          <w:tcPr>
            <w:tcW w:w="981" w:type="dxa"/>
          </w:tcPr>
          <w:p w:rsidR="00C33EE6" w:rsidRDefault="00586869">
            <w:pPr>
              <w:jc w:val="center"/>
            </w:pPr>
            <w:r>
              <w:t>4</w:t>
            </w:r>
          </w:p>
        </w:tc>
        <w:tc>
          <w:tcPr>
            <w:tcW w:w="1134" w:type="dxa"/>
          </w:tcPr>
          <w:p w:rsidR="00C33EE6" w:rsidRDefault="00586869">
            <w:pPr>
              <w:jc w:val="center"/>
            </w:pPr>
            <w:r>
              <w:t>28</w:t>
            </w:r>
          </w:p>
        </w:tc>
        <w:tc>
          <w:tcPr>
            <w:tcW w:w="1134" w:type="dxa"/>
          </w:tcPr>
          <w:p w:rsidR="00C33EE6" w:rsidRDefault="00586869">
            <w:pPr>
              <w:jc w:val="center"/>
            </w:pPr>
            <w:r>
              <w:t>12</w:t>
            </w:r>
          </w:p>
        </w:tc>
        <w:tc>
          <w:tcPr>
            <w:tcW w:w="3048" w:type="dxa"/>
          </w:tcPr>
          <w:p w:rsidR="00C33EE6" w:rsidRDefault="00586869">
            <w:pPr>
              <w:jc w:val="both"/>
            </w:pPr>
            <w:r>
              <w:t>Умеренные разрушения, повреждения внутренних перегородок, рам, дверей</w:t>
            </w:r>
          </w:p>
        </w:tc>
      </w:tr>
      <w:tr w:rsidR="00C33EE6" w:rsidTr="00A8592F">
        <w:trPr>
          <w:jc w:val="center"/>
        </w:trPr>
        <w:tc>
          <w:tcPr>
            <w:tcW w:w="981" w:type="dxa"/>
          </w:tcPr>
          <w:p w:rsidR="00C33EE6" w:rsidRDefault="00586869">
            <w:pPr>
              <w:jc w:val="center"/>
            </w:pPr>
            <w:r>
              <w:t>5</w:t>
            </w:r>
          </w:p>
        </w:tc>
        <w:tc>
          <w:tcPr>
            <w:tcW w:w="1134" w:type="dxa"/>
          </w:tcPr>
          <w:p w:rsidR="00C33EE6" w:rsidRDefault="00586869">
            <w:pPr>
              <w:jc w:val="center"/>
              <w:rPr>
                <w:lang w:val="en-US"/>
              </w:rPr>
            </w:pPr>
            <w:r>
              <w:t>56</w:t>
            </w:r>
          </w:p>
        </w:tc>
        <w:tc>
          <w:tcPr>
            <w:tcW w:w="1134" w:type="dxa"/>
          </w:tcPr>
          <w:p w:rsidR="00C33EE6" w:rsidRDefault="00586869">
            <w:pPr>
              <w:jc w:val="center"/>
            </w:pPr>
            <w:r>
              <w:t>3</w:t>
            </w:r>
          </w:p>
        </w:tc>
        <w:tc>
          <w:tcPr>
            <w:tcW w:w="3048" w:type="dxa"/>
          </w:tcPr>
          <w:p w:rsidR="00C33EE6" w:rsidRDefault="00586869">
            <w:pPr>
              <w:jc w:val="both"/>
            </w:pPr>
            <w:r>
              <w:t>Малые повреждения -</w:t>
            </w:r>
            <w:r>
              <w:rPr>
                <w:lang w:val="en-US"/>
              </w:rPr>
              <w:t xml:space="preserve"> </w:t>
            </w:r>
            <w:r>
              <w:t>разбито не более 10 % остекления</w:t>
            </w:r>
          </w:p>
        </w:tc>
      </w:tr>
    </w:tbl>
    <w:p w:rsidR="00C33EE6" w:rsidRDefault="00586869">
      <w:pPr>
        <w:spacing w:before="120" w:after="120"/>
        <w:ind w:firstLine="284"/>
        <w:jc w:val="both"/>
        <w:rPr>
          <w:b/>
        </w:rPr>
      </w:pPr>
      <w:r>
        <w:rPr>
          <w:b/>
          <w:u w:val="single"/>
        </w:rPr>
        <w:t>Методика</w:t>
      </w:r>
      <w:r>
        <w:rPr>
          <w:b/>
          <w:u w:val="single"/>
          <w:lang w:val="en-US"/>
        </w:rPr>
        <w:t xml:space="preserve"> </w:t>
      </w:r>
      <w:r>
        <w:rPr>
          <w:b/>
          <w:u w:val="single"/>
        </w:rPr>
        <w:t>№ 4.</w:t>
      </w:r>
      <w:r>
        <w:rPr>
          <w:b/>
        </w:rPr>
        <w:t xml:space="preserve"> Определение опасных зон теплового излучения при пожаре разлива нефтепродукта</w:t>
      </w:r>
    </w:p>
    <w:p w:rsidR="00C33EE6" w:rsidRDefault="00586869">
      <w:pPr>
        <w:ind w:firstLine="284"/>
        <w:jc w:val="both"/>
      </w:pPr>
      <w:r>
        <w:t>Опасные зоны теплового излучения при пожарах разливов нефтепродуктов определяют для наиболее неблагоприятного варианта.</w:t>
      </w:r>
    </w:p>
    <w:p w:rsidR="00C33EE6" w:rsidRDefault="00586869">
      <w:pPr>
        <w:ind w:firstLine="284"/>
        <w:jc w:val="both"/>
      </w:pPr>
      <w:r>
        <w:t xml:space="preserve">В качестве критерия опасного теплового воздействия на границе зоны принято </w:t>
      </w:r>
      <w:proofErr w:type="gramStart"/>
      <w:r>
        <w:t>для</w:t>
      </w:r>
      <w:proofErr w:type="gramEnd"/>
      <w:r>
        <w:t xml:space="preserve"> </w:t>
      </w:r>
    </w:p>
    <w:p w:rsidR="00C33EE6" w:rsidRDefault="00586869">
      <w:pPr>
        <w:ind w:firstLine="284"/>
        <w:jc w:val="both"/>
      </w:pPr>
      <w:r>
        <w:t>людей - тепловые нагрузки, превышающие 1,4 кВт</w:t>
      </w:r>
      <w:r>
        <w:sym w:font="Symbol" w:char="F0D7"/>
      </w:r>
      <w:r>
        <w:t>м</w:t>
      </w:r>
      <w:r>
        <w:rPr>
          <w:vertAlign w:val="superscript"/>
        </w:rPr>
        <w:t>-2</w:t>
      </w:r>
      <w:r>
        <w:t>;</w:t>
      </w:r>
    </w:p>
    <w:p w:rsidR="00C33EE6" w:rsidRDefault="00586869">
      <w:pPr>
        <w:ind w:firstLine="284"/>
        <w:jc w:val="both"/>
      </w:pPr>
      <w:r>
        <w:t>сгораемых элементов конструкций зданий (двери, рамы и т. п.), а также для резервуаров с нефтепродуктами, не оборудованных установками охлаждения, - 7,5 кВт</w:t>
      </w:r>
      <w:r>
        <w:sym w:font="Symbol" w:char="F0D7"/>
      </w:r>
      <w:r>
        <w:t>м</w:t>
      </w:r>
      <w:r>
        <w:rPr>
          <w:vertAlign w:val="superscript"/>
        </w:rPr>
        <w:t>-2</w:t>
      </w:r>
      <w:r>
        <w:t>;</w:t>
      </w:r>
    </w:p>
    <w:p w:rsidR="00C33EE6" w:rsidRDefault="00586869">
      <w:pPr>
        <w:ind w:firstLine="284"/>
        <w:jc w:val="both"/>
      </w:pPr>
      <w:r>
        <w:t>резервуаров с нефтепродуктами, оборудованных установками охлаждения, - 13 кВт</w:t>
      </w:r>
      <w:r>
        <w:sym w:font="Symbol" w:char="F0D7"/>
      </w:r>
      <w:r>
        <w:t>м</w:t>
      </w:r>
      <w:r>
        <w:rPr>
          <w:vertAlign w:val="superscript"/>
        </w:rPr>
        <w:t>-2</w:t>
      </w:r>
      <w:r>
        <w:t>.</w:t>
      </w:r>
    </w:p>
    <w:p w:rsidR="00C33EE6" w:rsidRDefault="00586869">
      <w:pPr>
        <w:ind w:firstLine="284"/>
        <w:jc w:val="both"/>
      </w:pPr>
      <w:r>
        <w:t>В табл. 4.1 приведены опасные тепловые зоны при пожарах разливов нефтепродуктов. При расчете опасных тепловых зон плотность теплового излучения пожара разлива принята равной</w:t>
      </w:r>
      <w:r>
        <w:rPr>
          <w:lang w:val="en-US"/>
        </w:rPr>
        <w:t xml:space="preserve"> 5</w:t>
      </w:r>
      <w:r>
        <w:t>0 кВт</w:t>
      </w:r>
      <w:r>
        <w:sym w:font="Symbol" w:char="F0D7"/>
      </w:r>
      <w:r>
        <w:t>м</w:t>
      </w:r>
      <w:r>
        <w:rPr>
          <w:vertAlign w:val="superscript"/>
        </w:rPr>
        <w:t>-2</w:t>
      </w:r>
      <w:r>
        <w:t>.</w:t>
      </w:r>
    </w:p>
    <w:p w:rsidR="00C33EE6" w:rsidRDefault="00586869">
      <w:pPr>
        <w:ind w:firstLine="284"/>
        <w:jc w:val="both"/>
      </w:pPr>
      <w:r>
        <w:t>По результатам определения составляется карта, которая представляет собой ситуационный план с нанесенными опасными тепловыми зонами. При пожаре разлива нефтепродукта на площади круга тепловые</w:t>
      </w:r>
      <w:r>
        <w:rPr>
          <w:lang w:val="en-US"/>
        </w:rPr>
        <w:t xml:space="preserve"> </w:t>
      </w:r>
      <w:r>
        <w:t>зоны будут представлять</w:t>
      </w:r>
      <w:r>
        <w:rPr>
          <w:lang w:val="en-US"/>
        </w:rPr>
        <w:t xml:space="preserve"> </w:t>
      </w:r>
      <w:r>
        <w:t>собой</w:t>
      </w:r>
      <w:r>
        <w:rPr>
          <w:lang w:val="en-US"/>
        </w:rPr>
        <w:t xml:space="preserve"> </w:t>
      </w:r>
      <w:r>
        <w:t>окружности, а при горении нефтепродукта на площади эллипса тепловые зоны будут повторять форму эллипса.</w:t>
      </w:r>
    </w:p>
    <w:p w:rsidR="00C33EE6" w:rsidRDefault="00586869">
      <w:pPr>
        <w:ind w:firstLine="284"/>
        <w:jc w:val="both"/>
      </w:pPr>
      <w:r>
        <w:t>В текстовой части указывается возможное поражение людей и возможность распространения пожара на соседние здания и сооружения при горении нефтепродукта на площади разлива.</w:t>
      </w:r>
    </w:p>
    <w:p w:rsidR="00C33EE6" w:rsidRDefault="00586869">
      <w:pPr>
        <w:ind w:firstLine="284"/>
        <w:jc w:val="both"/>
      </w:pPr>
      <w:r>
        <w:t>При отсутствии характерных размеров зон разлива нефтепродукта (табл. 4.1) опасность теплового излучения пожара определяют для крупномасштабной аварии по следующим формулам методом последовательных приближений.</w:t>
      </w:r>
    </w:p>
    <w:p w:rsidR="00C33EE6" w:rsidRDefault="00586869">
      <w:pPr>
        <w:ind w:firstLine="284"/>
        <w:jc w:val="both"/>
      </w:pPr>
      <w:r>
        <w:t>Плотность потока теплового излучения (</w:t>
      </w:r>
      <w:proofErr w:type="spellStart"/>
      <w:r>
        <w:rPr>
          <w:i/>
          <w:lang w:val="en-US"/>
        </w:rPr>
        <w:t>q</w:t>
      </w:r>
      <w:r>
        <w:rPr>
          <w:i/>
          <w:vertAlign w:val="subscript"/>
          <w:lang w:val="en-US"/>
        </w:rPr>
        <w:t>n</w:t>
      </w:r>
      <w:proofErr w:type="spellEnd"/>
      <w:r>
        <w:t>) на границе зоны при горении нефтепродукта на площади разлива, кВт</w:t>
      </w:r>
      <w:r>
        <w:sym w:font="Symbol" w:char="F0D7"/>
      </w:r>
      <w:r>
        <w:t>м</w:t>
      </w:r>
      <w:r>
        <w:rPr>
          <w:vertAlign w:val="superscript"/>
        </w:rPr>
        <w:t>-2</w:t>
      </w:r>
      <w:r>
        <w:t>:</w:t>
      </w:r>
    </w:p>
    <w:p w:rsidR="00C33EE6" w:rsidRDefault="00586869">
      <w:pPr>
        <w:spacing w:before="120" w:after="120"/>
        <w:jc w:val="center"/>
        <w:rPr>
          <w:i/>
        </w:rPr>
      </w:pPr>
      <w:proofErr w:type="spellStart"/>
      <w:proofErr w:type="gramStart"/>
      <w:r>
        <w:rPr>
          <w:i/>
          <w:lang w:val="en-US"/>
        </w:rPr>
        <w:t>q</w:t>
      </w:r>
      <w:r>
        <w:rPr>
          <w:i/>
          <w:vertAlign w:val="subscript"/>
          <w:lang w:val="en-US"/>
        </w:rPr>
        <w:t>n</w:t>
      </w:r>
      <w:proofErr w:type="spellEnd"/>
      <w:proofErr w:type="gramEnd"/>
      <w:r>
        <w:rPr>
          <w:lang w:val="en-US"/>
        </w:rPr>
        <w:t xml:space="preserve"> = </w:t>
      </w:r>
      <w:r>
        <w:rPr>
          <w:i/>
          <w:lang w:val="en-US"/>
        </w:rPr>
        <w:t>q</w:t>
      </w:r>
      <w:r>
        <w:rPr>
          <w:i/>
          <w:vertAlign w:val="subscript"/>
        </w:rPr>
        <w:t>ф</w:t>
      </w:r>
      <w:r>
        <w:t xml:space="preserve"> </w:t>
      </w:r>
      <w:r>
        <w:sym w:font="Symbol" w:char="F0D7"/>
      </w:r>
      <w:r>
        <w:rPr>
          <w:i/>
        </w:rPr>
        <w:t xml:space="preserve"> </w:t>
      </w:r>
      <w:r>
        <w:rPr>
          <w:i/>
          <w:lang w:val="en-US"/>
        </w:rPr>
        <w:t>F</w:t>
      </w:r>
      <w:proofErr w:type="spellStart"/>
      <w:r>
        <w:rPr>
          <w:i/>
          <w:vertAlign w:val="subscript"/>
        </w:rPr>
        <w:t>обл</w:t>
      </w:r>
      <w:proofErr w:type="spellEnd"/>
      <w:r>
        <w:t>,</w:t>
      </w:r>
    </w:p>
    <w:p w:rsidR="00C33EE6" w:rsidRDefault="00586869">
      <w:pPr>
        <w:jc w:val="both"/>
      </w:pPr>
      <w:r>
        <w:t xml:space="preserve">где </w:t>
      </w:r>
      <w:proofErr w:type="gramStart"/>
      <w:r>
        <w:rPr>
          <w:i/>
          <w:lang w:val="en-US"/>
        </w:rPr>
        <w:t>q</w:t>
      </w:r>
      <w:proofErr w:type="gramEnd"/>
      <w:r>
        <w:rPr>
          <w:i/>
          <w:vertAlign w:val="subscript"/>
        </w:rPr>
        <w:t>ф</w:t>
      </w:r>
      <w:r>
        <w:rPr>
          <w:i/>
        </w:rPr>
        <w:t xml:space="preserve"> -</w:t>
      </w:r>
      <w:r>
        <w:t xml:space="preserve"> максимальная </w:t>
      </w:r>
      <w:proofErr w:type="spellStart"/>
      <w:r>
        <w:t>среднеповерхностная</w:t>
      </w:r>
      <w:proofErr w:type="spellEnd"/>
      <w:r>
        <w:t xml:space="preserve"> плотность излучения, кВт</w:t>
      </w:r>
      <w:r>
        <w:sym w:font="Symbol" w:char="F0D7"/>
      </w:r>
      <w:r>
        <w:t>м</w:t>
      </w:r>
      <w:r>
        <w:rPr>
          <w:vertAlign w:val="superscript"/>
        </w:rPr>
        <w:t>-2</w:t>
      </w:r>
      <w:r>
        <w:t xml:space="preserve">, </w:t>
      </w:r>
      <w:r>
        <w:rPr>
          <w:i/>
          <w:lang w:val="en-US"/>
        </w:rPr>
        <w:t>F</w:t>
      </w:r>
      <w:proofErr w:type="spellStart"/>
      <w:r>
        <w:rPr>
          <w:i/>
          <w:vertAlign w:val="subscript"/>
        </w:rPr>
        <w:t>обл</w:t>
      </w:r>
      <w:proofErr w:type="spellEnd"/>
      <w:r>
        <w:t xml:space="preserve"> - коэффициент облученности.</w:t>
      </w:r>
    </w:p>
    <w:p w:rsidR="00C33EE6" w:rsidRDefault="00586869">
      <w:pPr>
        <w:ind w:firstLine="284"/>
        <w:jc w:val="both"/>
      </w:pPr>
      <w:r>
        <w:t xml:space="preserve">Максимальная </w:t>
      </w:r>
      <w:proofErr w:type="spellStart"/>
      <w:r>
        <w:t>среднеповерхностная</w:t>
      </w:r>
      <w:proofErr w:type="spellEnd"/>
      <w:r>
        <w:t xml:space="preserve"> плотность излучения факела пламени пожара и штиль, кВт</w:t>
      </w:r>
      <w:r>
        <w:sym w:font="Symbol" w:char="F0D7"/>
      </w:r>
      <w:r>
        <w:t>м</w:t>
      </w:r>
      <w:r>
        <w:rPr>
          <w:vertAlign w:val="superscript"/>
        </w:rPr>
        <w:t>-2</w:t>
      </w:r>
      <w:r>
        <w:t>:</w:t>
      </w:r>
    </w:p>
    <w:p w:rsidR="00C33EE6" w:rsidRDefault="00586869">
      <w:pPr>
        <w:spacing w:before="120" w:after="120"/>
        <w:jc w:val="center"/>
        <w:rPr>
          <w:i/>
        </w:rPr>
      </w:pPr>
      <w:proofErr w:type="spellStart"/>
      <w:proofErr w:type="gramStart"/>
      <w:r>
        <w:rPr>
          <w:i/>
        </w:rPr>
        <w:lastRenderedPageBreak/>
        <w:t>q</w:t>
      </w:r>
      <w:proofErr w:type="gramEnd"/>
      <w:r>
        <w:rPr>
          <w:i/>
          <w:vertAlign w:val="subscript"/>
        </w:rPr>
        <w:t>ф</w:t>
      </w:r>
      <w:proofErr w:type="spellEnd"/>
      <w:r>
        <w:rPr>
          <w:i/>
        </w:rPr>
        <w:t xml:space="preserve"> = </w:t>
      </w:r>
      <w:r>
        <w:t>(335</w:t>
      </w:r>
      <w:r>
        <w:rPr>
          <w:i/>
        </w:rPr>
        <w:t xml:space="preserve"> + </w:t>
      </w:r>
      <w:r>
        <w:t>7112/</w:t>
      </w:r>
      <w:r>
        <w:rPr>
          <w:i/>
          <w:lang w:val="en-US"/>
        </w:rPr>
        <w:t>d</w:t>
      </w:r>
      <w:r>
        <w:rPr>
          <w:i/>
          <w:vertAlign w:val="subscript"/>
        </w:rPr>
        <w:t>р</w:t>
      </w:r>
      <w:r>
        <w:t>)</w:t>
      </w:r>
      <w:r>
        <w:rPr>
          <w:i/>
          <w:lang w:val="en-US"/>
        </w:rPr>
        <w:t>m</w:t>
      </w:r>
      <w:proofErr w:type="spellStart"/>
      <w:r>
        <w:rPr>
          <w:i/>
          <w:vertAlign w:val="subscript"/>
        </w:rPr>
        <w:t>выг</w:t>
      </w:r>
      <w:proofErr w:type="spellEnd"/>
      <w:r>
        <w:rPr>
          <w:i/>
        </w:rPr>
        <w:t>,</w:t>
      </w:r>
    </w:p>
    <w:p w:rsidR="00C33EE6" w:rsidRDefault="00586869">
      <w:pPr>
        <w:jc w:val="both"/>
      </w:pPr>
      <w:r>
        <w:t>где</w:t>
      </w:r>
      <w:r>
        <w:rPr>
          <w:lang w:val="en-US"/>
        </w:rPr>
        <w:t xml:space="preserve"> </w:t>
      </w:r>
      <w:proofErr w:type="spellStart"/>
      <w:r>
        <w:rPr>
          <w:i/>
          <w:lang w:val="en-US"/>
        </w:rPr>
        <w:t>d</w:t>
      </w:r>
      <w:r>
        <w:rPr>
          <w:i/>
          <w:vertAlign w:val="subscript"/>
          <w:lang w:val="en-US"/>
        </w:rPr>
        <w:t>p</w:t>
      </w:r>
      <w:proofErr w:type="spellEnd"/>
      <w:r>
        <w:rPr>
          <w:i/>
        </w:rPr>
        <w:t xml:space="preserve"> -</w:t>
      </w:r>
      <w:r>
        <w:t xml:space="preserve"> характерный диаметр зоны разлива, </w:t>
      </w:r>
      <w:proofErr w:type="gramStart"/>
      <w:r>
        <w:t>м</w:t>
      </w:r>
      <w:proofErr w:type="gramEnd"/>
      <w:r>
        <w:t xml:space="preserve">; </w:t>
      </w:r>
      <w:proofErr w:type="spellStart"/>
      <w:r>
        <w:rPr>
          <w:i/>
        </w:rPr>
        <w:t>т</w:t>
      </w:r>
      <w:r>
        <w:rPr>
          <w:i/>
          <w:vertAlign w:val="subscript"/>
        </w:rPr>
        <w:t>выг</w:t>
      </w:r>
      <w:proofErr w:type="spellEnd"/>
      <w:r>
        <w:t xml:space="preserve"> - массовая скорость выгорания нефтепродукта, кг</w:t>
      </w:r>
      <w:r>
        <w:sym w:font="Symbol" w:char="F0D7"/>
      </w:r>
      <w:r>
        <w:t>с</w:t>
      </w:r>
      <w:r>
        <w:rPr>
          <w:vertAlign w:val="superscript"/>
        </w:rPr>
        <w:t>-1</w:t>
      </w:r>
      <w:r>
        <w:sym w:font="Symbol" w:char="F0D7"/>
      </w:r>
      <w:r>
        <w:t>м</w:t>
      </w:r>
      <w:r>
        <w:rPr>
          <w:vertAlign w:val="superscript"/>
        </w:rPr>
        <w:t>-2</w:t>
      </w:r>
      <w:r>
        <w:t>.</w:t>
      </w:r>
    </w:p>
    <w:p w:rsidR="00C33EE6" w:rsidRDefault="00586869">
      <w:pPr>
        <w:spacing w:before="120" w:after="120"/>
        <w:ind w:firstLine="284"/>
        <w:jc w:val="right"/>
        <w:rPr>
          <w:i/>
        </w:rPr>
      </w:pPr>
      <w:r>
        <w:rPr>
          <w:i/>
          <w:spacing w:val="40"/>
        </w:rPr>
        <w:t xml:space="preserve">Таблица </w:t>
      </w:r>
      <w:r>
        <w:rPr>
          <w:i/>
        </w:rPr>
        <w:t>4.1</w:t>
      </w:r>
    </w:p>
    <w:p w:rsidR="00C33EE6" w:rsidRDefault="00586869">
      <w:pPr>
        <w:spacing w:after="120"/>
        <w:jc w:val="center"/>
        <w:rPr>
          <w:b/>
        </w:rPr>
      </w:pPr>
      <w:r>
        <w:rPr>
          <w:b/>
        </w:rPr>
        <w:t>Опасные зоны теплового излучения при пожарах разливов нефтепродуктов</w:t>
      </w:r>
    </w:p>
    <w:tbl>
      <w:tblPr>
        <w:tblW w:w="0" w:type="auto"/>
        <w:jc w:val="center"/>
        <w:tblInd w:w="40" w:type="dxa"/>
        <w:tblLayout w:type="fixed"/>
        <w:tblCellMar>
          <w:left w:w="28" w:type="dxa"/>
          <w:right w:w="28" w:type="dxa"/>
        </w:tblCellMar>
        <w:tblLook w:val="0000" w:firstRow="0" w:lastRow="0" w:firstColumn="0" w:lastColumn="0" w:noHBand="0" w:noVBand="0"/>
      </w:tblPr>
      <w:tblGrid>
        <w:gridCol w:w="1259"/>
        <w:gridCol w:w="1259"/>
        <w:gridCol w:w="1259"/>
        <w:gridCol w:w="1259"/>
        <w:gridCol w:w="1259"/>
      </w:tblGrid>
      <w:tr w:rsidR="00C33EE6" w:rsidTr="00A8592F">
        <w:trPr>
          <w:jc w:val="center"/>
        </w:trPr>
        <w:tc>
          <w:tcPr>
            <w:tcW w:w="1259" w:type="dxa"/>
            <w:tcBorders>
              <w:top w:val="single" w:sz="6" w:space="0" w:color="auto"/>
              <w:left w:val="single" w:sz="6" w:space="0" w:color="auto"/>
              <w:right w:val="single" w:sz="6" w:space="0" w:color="auto"/>
            </w:tcBorders>
          </w:tcPr>
          <w:p w:rsidR="00C33EE6" w:rsidRDefault="00586869">
            <w:pPr>
              <w:jc w:val="center"/>
              <w:rPr>
                <w:lang w:val="en-US"/>
              </w:rPr>
            </w:pPr>
            <w:r>
              <w:t>Вместимость резервуара, м</w:t>
            </w:r>
            <w:r>
              <w:rPr>
                <w:vertAlign w:val="superscript"/>
              </w:rPr>
              <w:t>3</w:t>
            </w:r>
          </w:p>
        </w:tc>
        <w:tc>
          <w:tcPr>
            <w:tcW w:w="1259" w:type="dxa"/>
            <w:tcBorders>
              <w:top w:val="single" w:sz="6" w:space="0" w:color="auto"/>
              <w:left w:val="single" w:sz="6" w:space="0" w:color="auto"/>
              <w:right w:val="single" w:sz="6" w:space="0" w:color="auto"/>
            </w:tcBorders>
          </w:tcPr>
          <w:p w:rsidR="00C33EE6" w:rsidRDefault="00586869">
            <w:pPr>
              <w:jc w:val="center"/>
              <w:rPr>
                <w:smallCaps/>
                <w:lang w:val="en-US"/>
              </w:rPr>
            </w:pPr>
            <w:r>
              <w:t>Уклон местности</w:t>
            </w:r>
          </w:p>
        </w:tc>
        <w:tc>
          <w:tcPr>
            <w:tcW w:w="3777" w:type="dxa"/>
            <w:gridSpan w:val="3"/>
            <w:tcBorders>
              <w:top w:val="single" w:sz="6" w:space="0" w:color="auto"/>
              <w:left w:val="single" w:sz="6" w:space="0" w:color="auto"/>
              <w:bottom w:val="single" w:sz="6" w:space="0" w:color="auto"/>
              <w:right w:val="single" w:sz="6" w:space="0" w:color="auto"/>
            </w:tcBorders>
          </w:tcPr>
          <w:p w:rsidR="00C33EE6" w:rsidRDefault="00586869">
            <w:pPr>
              <w:jc w:val="center"/>
            </w:pPr>
            <w:r>
              <w:t>Радиус зоны с плотностью теплового потока на границе зоны, кВт</w:t>
            </w:r>
            <w:r>
              <w:sym w:font="Symbol" w:char="F0D7"/>
            </w:r>
            <w:r>
              <w:t>м</w:t>
            </w:r>
            <w:r>
              <w:rPr>
                <w:vertAlign w:val="superscript"/>
              </w:rPr>
              <w:t>-2</w:t>
            </w:r>
          </w:p>
        </w:tc>
      </w:tr>
      <w:tr w:rsidR="00C33EE6" w:rsidTr="00A8592F">
        <w:trPr>
          <w:jc w:val="center"/>
        </w:trPr>
        <w:tc>
          <w:tcPr>
            <w:tcW w:w="1259" w:type="dxa"/>
            <w:tcBorders>
              <w:left w:val="single" w:sz="6" w:space="0" w:color="auto"/>
              <w:bottom w:val="single" w:sz="6" w:space="0" w:color="auto"/>
              <w:right w:val="single" w:sz="6" w:space="0" w:color="auto"/>
            </w:tcBorders>
          </w:tcPr>
          <w:p w:rsidR="00C33EE6" w:rsidRDefault="00C33EE6">
            <w:pPr>
              <w:jc w:val="center"/>
            </w:pPr>
          </w:p>
        </w:tc>
        <w:tc>
          <w:tcPr>
            <w:tcW w:w="1259" w:type="dxa"/>
            <w:tcBorders>
              <w:left w:val="single" w:sz="6" w:space="0" w:color="auto"/>
              <w:bottom w:val="single" w:sz="6" w:space="0" w:color="auto"/>
              <w:right w:val="single" w:sz="6" w:space="0" w:color="auto"/>
            </w:tcBorders>
          </w:tcPr>
          <w:p w:rsidR="00C33EE6" w:rsidRDefault="00C33EE6">
            <w:pPr>
              <w:jc w:val="center"/>
            </w:pPr>
          </w:p>
        </w:tc>
        <w:tc>
          <w:tcPr>
            <w:tcW w:w="1259" w:type="dxa"/>
            <w:tcBorders>
              <w:top w:val="single" w:sz="6" w:space="0" w:color="auto"/>
              <w:left w:val="single" w:sz="6" w:space="0" w:color="auto"/>
              <w:bottom w:val="single" w:sz="6" w:space="0" w:color="auto"/>
              <w:right w:val="single" w:sz="6" w:space="0" w:color="auto"/>
            </w:tcBorders>
          </w:tcPr>
          <w:p w:rsidR="00C33EE6" w:rsidRDefault="00586869">
            <w:pPr>
              <w:jc w:val="center"/>
            </w:pPr>
            <w:r>
              <w:t>1,4</w:t>
            </w:r>
          </w:p>
        </w:tc>
        <w:tc>
          <w:tcPr>
            <w:tcW w:w="1259" w:type="dxa"/>
            <w:tcBorders>
              <w:top w:val="single" w:sz="6" w:space="0" w:color="auto"/>
              <w:left w:val="single" w:sz="6" w:space="0" w:color="auto"/>
              <w:bottom w:val="single" w:sz="6" w:space="0" w:color="auto"/>
              <w:right w:val="single" w:sz="6" w:space="0" w:color="auto"/>
            </w:tcBorders>
          </w:tcPr>
          <w:p w:rsidR="00C33EE6" w:rsidRDefault="00586869">
            <w:pPr>
              <w:jc w:val="center"/>
            </w:pPr>
            <w:r>
              <w:t>7,5</w:t>
            </w:r>
          </w:p>
        </w:tc>
        <w:tc>
          <w:tcPr>
            <w:tcW w:w="1259" w:type="dxa"/>
            <w:tcBorders>
              <w:top w:val="single" w:sz="6" w:space="0" w:color="auto"/>
              <w:left w:val="single" w:sz="6" w:space="0" w:color="auto"/>
              <w:bottom w:val="single" w:sz="6" w:space="0" w:color="auto"/>
              <w:right w:val="single" w:sz="6" w:space="0" w:color="auto"/>
            </w:tcBorders>
          </w:tcPr>
          <w:p w:rsidR="00C33EE6" w:rsidRDefault="00586869">
            <w:pPr>
              <w:jc w:val="center"/>
            </w:pPr>
            <w:r>
              <w:t>13</w:t>
            </w:r>
          </w:p>
        </w:tc>
      </w:tr>
      <w:tr w:rsidR="00C33EE6" w:rsidTr="00A8592F">
        <w:trPr>
          <w:jc w:val="center"/>
        </w:trPr>
        <w:tc>
          <w:tcPr>
            <w:tcW w:w="1259" w:type="dxa"/>
            <w:tcBorders>
              <w:top w:val="single" w:sz="6" w:space="0" w:color="auto"/>
              <w:left w:val="single" w:sz="6" w:space="0" w:color="auto"/>
              <w:right w:val="single" w:sz="6" w:space="0" w:color="auto"/>
            </w:tcBorders>
          </w:tcPr>
          <w:p w:rsidR="00C33EE6" w:rsidRDefault="00C33EE6">
            <w:pPr>
              <w:jc w:val="center"/>
            </w:pPr>
          </w:p>
        </w:tc>
        <w:tc>
          <w:tcPr>
            <w:tcW w:w="1259" w:type="dxa"/>
            <w:tcBorders>
              <w:top w:val="single" w:sz="6" w:space="0" w:color="auto"/>
              <w:left w:val="single" w:sz="6" w:space="0" w:color="auto"/>
              <w:bottom w:val="single" w:sz="6" w:space="0" w:color="auto"/>
              <w:right w:val="single" w:sz="6" w:space="0" w:color="auto"/>
            </w:tcBorders>
          </w:tcPr>
          <w:p w:rsidR="00C33EE6" w:rsidRDefault="00586869">
            <w:pPr>
              <w:jc w:val="center"/>
              <w:rPr>
                <w:lang w:val="en-US"/>
              </w:rPr>
            </w:pPr>
            <w:r>
              <w:rPr>
                <w:lang w:val="en-US"/>
              </w:rPr>
              <w:t>&lt;</w:t>
            </w:r>
            <w:r>
              <w:t xml:space="preserve"> 1 %</w:t>
            </w:r>
          </w:p>
        </w:tc>
        <w:tc>
          <w:tcPr>
            <w:tcW w:w="1259" w:type="dxa"/>
            <w:tcBorders>
              <w:top w:val="single" w:sz="6" w:space="0" w:color="auto"/>
              <w:left w:val="single" w:sz="6" w:space="0" w:color="auto"/>
              <w:bottom w:val="single" w:sz="6" w:space="0" w:color="auto"/>
              <w:right w:val="single" w:sz="6" w:space="0" w:color="auto"/>
            </w:tcBorders>
          </w:tcPr>
          <w:p w:rsidR="00C33EE6" w:rsidRDefault="00586869">
            <w:pPr>
              <w:jc w:val="center"/>
            </w:pPr>
            <w:r>
              <w:t>60</w:t>
            </w:r>
          </w:p>
        </w:tc>
        <w:tc>
          <w:tcPr>
            <w:tcW w:w="1259" w:type="dxa"/>
            <w:tcBorders>
              <w:top w:val="single" w:sz="6" w:space="0" w:color="auto"/>
              <w:left w:val="single" w:sz="6" w:space="0" w:color="auto"/>
              <w:bottom w:val="single" w:sz="6" w:space="0" w:color="auto"/>
              <w:right w:val="single" w:sz="6" w:space="0" w:color="auto"/>
            </w:tcBorders>
          </w:tcPr>
          <w:p w:rsidR="00C33EE6" w:rsidRDefault="00586869">
            <w:pPr>
              <w:jc w:val="center"/>
            </w:pPr>
            <w:r>
              <w:t>27</w:t>
            </w:r>
          </w:p>
        </w:tc>
        <w:tc>
          <w:tcPr>
            <w:tcW w:w="1259" w:type="dxa"/>
            <w:tcBorders>
              <w:top w:val="single" w:sz="6" w:space="0" w:color="auto"/>
              <w:left w:val="single" w:sz="6" w:space="0" w:color="auto"/>
              <w:bottom w:val="single" w:sz="6" w:space="0" w:color="auto"/>
              <w:right w:val="single" w:sz="6" w:space="0" w:color="auto"/>
            </w:tcBorders>
          </w:tcPr>
          <w:p w:rsidR="00C33EE6" w:rsidRDefault="00586869">
            <w:pPr>
              <w:jc w:val="center"/>
            </w:pPr>
            <w:r>
              <w:t>15</w:t>
            </w:r>
          </w:p>
        </w:tc>
      </w:tr>
      <w:tr w:rsidR="00C33EE6" w:rsidTr="00A8592F">
        <w:trPr>
          <w:jc w:val="center"/>
        </w:trPr>
        <w:tc>
          <w:tcPr>
            <w:tcW w:w="1259" w:type="dxa"/>
            <w:tcBorders>
              <w:left w:val="single" w:sz="6" w:space="0" w:color="auto"/>
              <w:right w:val="single" w:sz="6" w:space="0" w:color="auto"/>
            </w:tcBorders>
          </w:tcPr>
          <w:p w:rsidR="00C33EE6" w:rsidRDefault="00586869">
            <w:pPr>
              <w:jc w:val="center"/>
            </w:pPr>
            <w:r>
              <w:t>100</w:t>
            </w:r>
          </w:p>
        </w:tc>
        <w:tc>
          <w:tcPr>
            <w:tcW w:w="1259" w:type="dxa"/>
            <w:tcBorders>
              <w:top w:val="single" w:sz="6" w:space="0" w:color="auto"/>
              <w:left w:val="single" w:sz="6" w:space="0" w:color="auto"/>
              <w:bottom w:val="single" w:sz="6" w:space="0" w:color="auto"/>
              <w:right w:val="single" w:sz="6" w:space="0" w:color="auto"/>
            </w:tcBorders>
          </w:tcPr>
          <w:p w:rsidR="00C33EE6" w:rsidRDefault="00586869">
            <w:pPr>
              <w:jc w:val="center"/>
              <w:rPr>
                <w:lang w:val="en-US"/>
              </w:rPr>
            </w:pPr>
            <w:r>
              <w:t>1 - 3 %</w:t>
            </w:r>
          </w:p>
        </w:tc>
        <w:tc>
          <w:tcPr>
            <w:tcW w:w="1259" w:type="dxa"/>
            <w:tcBorders>
              <w:top w:val="single" w:sz="6" w:space="0" w:color="auto"/>
              <w:left w:val="single" w:sz="6" w:space="0" w:color="auto"/>
              <w:bottom w:val="single" w:sz="6" w:space="0" w:color="auto"/>
              <w:right w:val="single" w:sz="6" w:space="0" w:color="auto"/>
            </w:tcBorders>
          </w:tcPr>
          <w:p w:rsidR="00C33EE6" w:rsidRDefault="00586869">
            <w:pPr>
              <w:jc w:val="center"/>
            </w:pPr>
            <w:r>
              <w:rPr>
                <w:u w:val="single"/>
              </w:rPr>
              <w:t>80*</w:t>
            </w:r>
          </w:p>
          <w:p w:rsidR="00C33EE6" w:rsidRDefault="00586869">
            <w:pPr>
              <w:jc w:val="center"/>
            </w:pPr>
            <w:r>
              <w:t>50</w:t>
            </w:r>
          </w:p>
        </w:tc>
        <w:tc>
          <w:tcPr>
            <w:tcW w:w="1259" w:type="dxa"/>
            <w:tcBorders>
              <w:top w:val="single" w:sz="6" w:space="0" w:color="auto"/>
              <w:left w:val="single" w:sz="6" w:space="0" w:color="auto"/>
              <w:bottom w:val="single" w:sz="6" w:space="0" w:color="auto"/>
              <w:right w:val="single" w:sz="6" w:space="0" w:color="auto"/>
            </w:tcBorders>
          </w:tcPr>
          <w:p w:rsidR="00C33EE6" w:rsidRDefault="00586869">
            <w:pPr>
              <w:jc w:val="center"/>
              <w:rPr>
                <w:u w:val="single"/>
              </w:rPr>
            </w:pPr>
            <w:r>
              <w:rPr>
                <w:u w:val="single"/>
              </w:rPr>
              <w:t>30</w:t>
            </w:r>
          </w:p>
          <w:p w:rsidR="00C33EE6" w:rsidRDefault="00586869">
            <w:pPr>
              <w:jc w:val="center"/>
            </w:pPr>
            <w:r>
              <w:t>21</w:t>
            </w:r>
          </w:p>
        </w:tc>
        <w:tc>
          <w:tcPr>
            <w:tcW w:w="1259" w:type="dxa"/>
            <w:tcBorders>
              <w:top w:val="single" w:sz="6" w:space="0" w:color="auto"/>
              <w:left w:val="single" w:sz="6" w:space="0" w:color="auto"/>
              <w:bottom w:val="single" w:sz="6" w:space="0" w:color="auto"/>
              <w:right w:val="single" w:sz="6" w:space="0" w:color="auto"/>
            </w:tcBorders>
          </w:tcPr>
          <w:p w:rsidR="00C33EE6" w:rsidRDefault="00586869">
            <w:pPr>
              <w:jc w:val="center"/>
              <w:rPr>
                <w:u w:val="single"/>
              </w:rPr>
            </w:pPr>
            <w:r>
              <w:rPr>
                <w:u w:val="single"/>
              </w:rPr>
              <w:t>17</w:t>
            </w:r>
          </w:p>
          <w:p w:rsidR="00C33EE6" w:rsidRDefault="00586869">
            <w:pPr>
              <w:jc w:val="center"/>
            </w:pPr>
            <w:r>
              <w:t>12</w:t>
            </w:r>
          </w:p>
        </w:tc>
      </w:tr>
      <w:tr w:rsidR="00C33EE6" w:rsidTr="00A8592F">
        <w:trPr>
          <w:jc w:val="center"/>
        </w:trPr>
        <w:tc>
          <w:tcPr>
            <w:tcW w:w="1259" w:type="dxa"/>
            <w:tcBorders>
              <w:left w:val="single" w:sz="6" w:space="0" w:color="auto"/>
              <w:bottom w:val="single" w:sz="6" w:space="0" w:color="auto"/>
              <w:right w:val="single" w:sz="6" w:space="0" w:color="auto"/>
            </w:tcBorders>
          </w:tcPr>
          <w:p w:rsidR="00C33EE6" w:rsidRDefault="00C33EE6">
            <w:pPr>
              <w:jc w:val="center"/>
            </w:pPr>
          </w:p>
        </w:tc>
        <w:tc>
          <w:tcPr>
            <w:tcW w:w="1259" w:type="dxa"/>
            <w:tcBorders>
              <w:top w:val="single" w:sz="6" w:space="0" w:color="auto"/>
              <w:left w:val="single" w:sz="6" w:space="0" w:color="auto"/>
              <w:bottom w:val="single" w:sz="6" w:space="0" w:color="auto"/>
              <w:right w:val="single" w:sz="6" w:space="0" w:color="auto"/>
            </w:tcBorders>
          </w:tcPr>
          <w:p w:rsidR="00C33EE6" w:rsidRDefault="00586869">
            <w:pPr>
              <w:jc w:val="center"/>
            </w:pPr>
            <w:r>
              <w:t>&gt; 3 %</w:t>
            </w:r>
          </w:p>
        </w:tc>
        <w:tc>
          <w:tcPr>
            <w:tcW w:w="1259" w:type="dxa"/>
            <w:tcBorders>
              <w:top w:val="single" w:sz="6" w:space="0" w:color="auto"/>
              <w:left w:val="single" w:sz="6" w:space="0" w:color="auto"/>
              <w:bottom w:val="single" w:sz="6" w:space="0" w:color="auto"/>
              <w:right w:val="single" w:sz="6" w:space="0" w:color="auto"/>
            </w:tcBorders>
          </w:tcPr>
          <w:p w:rsidR="00C33EE6" w:rsidRDefault="00586869">
            <w:pPr>
              <w:jc w:val="center"/>
              <w:rPr>
                <w:u w:val="single"/>
              </w:rPr>
            </w:pPr>
            <w:r>
              <w:rPr>
                <w:u w:val="single"/>
              </w:rPr>
              <w:t>102</w:t>
            </w:r>
          </w:p>
          <w:p w:rsidR="00C33EE6" w:rsidRDefault="00586869">
            <w:pPr>
              <w:jc w:val="center"/>
            </w:pPr>
            <w:r>
              <w:t>47</w:t>
            </w:r>
          </w:p>
        </w:tc>
        <w:tc>
          <w:tcPr>
            <w:tcW w:w="1259" w:type="dxa"/>
            <w:tcBorders>
              <w:top w:val="single" w:sz="6" w:space="0" w:color="auto"/>
              <w:left w:val="single" w:sz="6" w:space="0" w:color="auto"/>
              <w:bottom w:val="single" w:sz="6" w:space="0" w:color="auto"/>
              <w:right w:val="single" w:sz="6" w:space="0" w:color="auto"/>
            </w:tcBorders>
          </w:tcPr>
          <w:p w:rsidR="00C33EE6" w:rsidRDefault="00586869">
            <w:pPr>
              <w:jc w:val="center"/>
              <w:rPr>
                <w:u w:val="single"/>
              </w:rPr>
            </w:pPr>
            <w:r>
              <w:rPr>
                <w:u w:val="single"/>
              </w:rPr>
              <w:t>32</w:t>
            </w:r>
          </w:p>
          <w:p w:rsidR="00C33EE6" w:rsidRDefault="00586869">
            <w:pPr>
              <w:jc w:val="center"/>
            </w:pPr>
            <w:r>
              <w:t>18</w:t>
            </w:r>
          </w:p>
        </w:tc>
        <w:tc>
          <w:tcPr>
            <w:tcW w:w="1259" w:type="dxa"/>
            <w:tcBorders>
              <w:top w:val="single" w:sz="6" w:space="0" w:color="auto"/>
              <w:left w:val="single" w:sz="6" w:space="0" w:color="auto"/>
              <w:bottom w:val="single" w:sz="6" w:space="0" w:color="auto"/>
              <w:right w:val="single" w:sz="6" w:space="0" w:color="auto"/>
            </w:tcBorders>
          </w:tcPr>
          <w:p w:rsidR="00C33EE6" w:rsidRDefault="00586869">
            <w:pPr>
              <w:jc w:val="center"/>
            </w:pPr>
            <w:r>
              <w:rPr>
                <w:u w:val="single"/>
              </w:rPr>
              <w:t>20</w:t>
            </w:r>
          </w:p>
          <w:p w:rsidR="00C33EE6" w:rsidRDefault="00586869">
            <w:pPr>
              <w:jc w:val="center"/>
            </w:pPr>
            <w:r>
              <w:t>8</w:t>
            </w:r>
          </w:p>
        </w:tc>
      </w:tr>
      <w:tr w:rsidR="00C33EE6" w:rsidTr="00A8592F">
        <w:trPr>
          <w:jc w:val="center"/>
        </w:trPr>
        <w:tc>
          <w:tcPr>
            <w:tcW w:w="1259" w:type="dxa"/>
            <w:tcBorders>
              <w:top w:val="single" w:sz="6" w:space="0" w:color="auto"/>
              <w:left w:val="single" w:sz="6" w:space="0" w:color="auto"/>
              <w:right w:val="single" w:sz="6" w:space="0" w:color="auto"/>
            </w:tcBorders>
          </w:tcPr>
          <w:p w:rsidR="00C33EE6" w:rsidRDefault="00C33EE6">
            <w:pPr>
              <w:jc w:val="center"/>
            </w:pPr>
          </w:p>
        </w:tc>
        <w:tc>
          <w:tcPr>
            <w:tcW w:w="1259" w:type="dxa"/>
            <w:tcBorders>
              <w:top w:val="single" w:sz="6" w:space="0" w:color="auto"/>
              <w:left w:val="single" w:sz="6" w:space="0" w:color="auto"/>
              <w:bottom w:val="single" w:sz="6" w:space="0" w:color="auto"/>
              <w:right w:val="single" w:sz="6" w:space="0" w:color="auto"/>
            </w:tcBorders>
          </w:tcPr>
          <w:p w:rsidR="00C33EE6" w:rsidRDefault="00586869">
            <w:pPr>
              <w:jc w:val="center"/>
              <w:rPr>
                <w:lang w:val="en-US"/>
              </w:rPr>
            </w:pPr>
            <w:r>
              <w:rPr>
                <w:lang w:val="en-US"/>
              </w:rPr>
              <w:t>&lt;</w:t>
            </w:r>
            <w:r>
              <w:t xml:space="preserve"> 1 %</w:t>
            </w:r>
          </w:p>
        </w:tc>
        <w:tc>
          <w:tcPr>
            <w:tcW w:w="1259" w:type="dxa"/>
            <w:tcBorders>
              <w:top w:val="single" w:sz="6" w:space="0" w:color="auto"/>
              <w:left w:val="single" w:sz="6" w:space="0" w:color="auto"/>
              <w:bottom w:val="single" w:sz="6" w:space="0" w:color="auto"/>
              <w:right w:val="single" w:sz="6" w:space="0" w:color="auto"/>
            </w:tcBorders>
          </w:tcPr>
          <w:p w:rsidR="00C33EE6" w:rsidRDefault="00586869">
            <w:pPr>
              <w:jc w:val="center"/>
            </w:pPr>
            <w:r>
              <w:t>68</w:t>
            </w:r>
          </w:p>
        </w:tc>
        <w:tc>
          <w:tcPr>
            <w:tcW w:w="1259" w:type="dxa"/>
            <w:tcBorders>
              <w:top w:val="single" w:sz="6" w:space="0" w:color="auto"/>
              <w:left w:val="single" w:sz="6" w:space="0" w:color="auto"/>
              <w:bottom w:val="single" w:sz="6" w:space="0" w:color="auto"/>
              <w:right w:val="single" w:sz="6" w:space="0" w:color="auto"/>
            </w:tcBorders>
          </w:tcPr>
          <w:p w:rsidR="00C33EE6" w:rsidRDefault="00586869">
            <w:pPr>
              <w:jc w:val="center"/>
            </w:pPr>
            <w:r>
              <w:t>30</w:t>
            </w:r>
          </w:p>
        </w:tc>
        <w:tc>
          <w:tcPr>
            <w:tcW w:w="1259" w:type="dxa"/>
            <w:tcBorders>
              <w:top w:val="single" w:sz="6" w:space="0" w:color="auto"/>
              <w:left w:val="single" w:sz="6" w:space="0" w:color="auto"/>
              <w:bottom w:val="single" w:sz="6" w:space="0" w:color="auto"/>
              <w:right w:val="single" w:sz="6" w:space="0" w:color="auto"/>
            </w:tcBorders>
          </w:tcPr>
          <w:p w:rsidR="00C33EE6" w:rsidRDefault="00586869">
            <w:pPr>
              <w:jc w:val="center"/>
            </w:pPr>
            <w:r>
              <w:t>18</w:t>
            </w:r>
          </w:p>
        </w:tc>
      </w:tr>
      <w:tr w:rsidR="00C33EE6" w:rsidTr="00A8592F">
        <w:trPr>
          <w:jc w:val="center"/>
        </w:trPr>
        <w:tc>
          <w:tcPr>
            <w:tcW w:w="1259" w:type="dxa"/>
            <w:tcBorders>
              <w:left w:val="single" w:sz="6" w:space="0" w:color="auto"/>
              <w:right w:val="single" w:sz="6" w:space="0" w:color="auto"/>
            </w:tcBorders>
          </w:tcPr>
          <w:p w:rsidR="00C33EE6" w:rsidRDefault="00586869">
            <w:pPr>
              <w:jc w:val="center"/>
            </w:pPr>
            <w:r>
              <w:t>200</w:t>
            </w:r>
          </w:p>
        </w:tc>
        <w:tc>
          <w:tcPr>
            <w:tcW w:w="1259" w:type="dxa"/>
            <w:tcBorders>
              <w:top w:val="single" w:sz="6" w:space="0" w:color="auto"/>
              <w:left w:val="single" w:sz="6" w:space="0" w:color="auto"/>
              <w:bottom w:val="single" w:sz="6" w:space="0" w:color="auto"/>
              <w:right w:val="single" w:sz="6" w:space="0" w:color="auto"/>
            </w:tcBorders>
          </w:tcPr>
          <w:p w:rsidR="00C33EE6" w:rsidRDefault="00586869">
            <w:pPr>
              <w:jc w:val="center"/>
              <w:rPr>
                <w:lang w:val="en-US"/>
              </w:rPr>
            </w:pPr>
            <w:r>
              <w:t>1 - 3 %</w:t>
            </w:r>
          </w:p>
        </w:tc>
        <w:tc>
          <w:tcPr>
            <w:tcW w:w="1259" w:type="dxa"/>
            <w:tcBorders>
              <w:top w:val="single" w:sz="6" w:space="0" w:color="auto"/>
              <w:left w:val="single" w:sz="6" w:space="0" w:color="auto"/>
              <w:bottom w:val="single" w:sz="6" w:space="0" w:color="auto"/>
              <w:right w:val="single" w:sz="6" w:space="0" w:color="auto"/>
            </w:tcBorders>
          </w:tcPr>
          <w:p w:rsidR="00C33EE6" w:rsidRDefault="00586869">
            <w:pPr>
              <w:jc w:val="center"/>
            </w:pPr>
            <w:r>
              <w:rPr>
                <w:u w:val="single"/>
              </w:rPr>
              <w:t>102</w:t>
            </w:r>
          </w:p>
          <w:p w:rsidR="00C33EE6" w:rsidRDefault="00586869">
            <w:pPr>
              <w:jc w:val="center"/>
            </w:pPr>
            <w:r>
              <w:t>67</w:t>
            </w:r>
          </w:p>
        </w:tc>
        <w:tc>
          <w:tcPr>
            <w:tcW w:w="1259" w:type="dxa"/>
            <w:tcBorders>
              <w:top w:val="single" w:sz="6" w:space="0" w:color="auto"/>
              <w:left w:val="single" w:sz="6" w:space="0" w:color="auto"/>
              <w:bottom w:val="single" w:sz="6" w:space="0" w:color="auto"/>
              <w:right w:val="single" w:sz="6" w:space="0" w:color="auto"/>
            </w:tcBorders>
          </w:tcPr>
          <w:p w:rsidR="00C33EE6" w:rsidRDefault="00586869">
            <w:pPr>
              <w:jc w:val="center"/>
            </w:pPr>
            <w:r>
              <w:rPr>
                <w:u w:val="single"/>
              </w:rPr>
              <w:t>32</w:t>
            </w:r>
          </w:p>
          <w:p w:rsidR="00C33EE6" w:rsidRDefault="00586869">
            <w:pPr>
              <w:jc w:val="center"/>
            </w:pPr>
            <w:r>
              <w:t>25</w:t>
            </w:r>
          </w:p>
        </w:tc>
        <w:tc>
          <w:tcPr>
            <w:tcW w:w="1259" w:type="dxa"/>
            <w:tcBorders>
              <w:top w:val="single" w:sz="6" w:space="0" w:color="auto"/>
              <w:left w:val="single" w:sz="6" w:space="0" w:color="auto"/>
              <w:bottom w:val="single" w:sz="6" w:space="0" w:color="auto"/>
              <w:right w:val="single" w:sz="6" w:space="0" w:color="auto"/>
            </w:tcBorders>
          </w:tcPr>
          <w:p w:rsidR="00C33EE6" w:rsidRDefault="00586869">
            <w:pPr>
              <w:jc w:val="center"/>
              <w:rPr>
                <w:u w:val="single"/>
              </w:rPr>
            </w:pPr>
            <w:r>
              <w:rPr>
                <w:u w:val="single"/>
              </w:rPr>
              <w:t>20</w:t>
            </w:r>
          </w:p>
          <w:p w:rsidR="00C33EE6" w:rsidRDefault="00586869">
            <w:pPr>
              <w:jc w:val="center"/>
            </w:pPr>
            <w:r>
              <w:t>16</w:t>
            </w:r>
          </w:p>
        </w:tc>
      </w:tr>
      <w:tr w:rsidR="00C33EE6" w:rsidTr="00A8592F">
        <w:trPr>
          <w:jc w:val="center"/>
        </w:trPr>
        <w:tc>
          <w:tcPr>
            <w:tcW w:w="1259" w:type="dxa"/>
            <w:tcBorders>
              <w:left w:val="single" w:sz="6" w:space="0" w:color="auto"/>
              <w:bottom w:val="single" w:sz="6" w:space="0" w:color="auto"/>
              <w:right w:val="single" w:sz="6" w:space="0" w:color="auto"/>
            </w:tcBorders>
          </w:tcPr>
          <w:p w:rsidR="00C33EE6" w:rsidRDefault="00C33EE6">
            <w:pPr>
              <w:jc w:val="center"/>
            </w:pPr>
          </w:p>
        </w:tc>
        <w:tc>
          <w:tcPr>
            <w:tcW w:w="1259" w:type="dxa"/>
            <w:tcBorders>
              <w:top w:val="single" w:sz="6" w:space="0" w:color="auto"/>
              <w:left w:val="single" w:sz="6" w:space="0" w:color="auto"/>
              <w:bottom w:val="single" w:sz="6" w:space="0" w:color="auto"/>
              <w:right w:val="single" w:sz="6" w:space="0" w:color="auto"/>
            </w:tcBorders>
          </w:tcPr>
          <w:p w:rsidR="00C33EE6" w:rsidRDefault="00586869">
            <w:pPr>
              <w:jc w:val="center"/>
            </w:pPr>
            <w:r>
              <w:t>&gt; 3 %</w:t>
            </w:r>
          </w:p>
        </w:tc>
        <w:tc>
          <w:tcPr>
            <w:tcW w:w="1259" w:type="dxa"/>
            <w:tcBorders>
              <w:top w:val="single" w:sz="6" w:space="0" w:color="auto"/>
              <w:left w:val="single" w:sz="6" w:space="0" w:color="auto"/>
              <w:bottom w:val="single" w:sz="6" w:space="0" w:color="auto"/>
              <w:right w:val="single" w:sz="6" w:space="0" w:color="auto"/>
            </w:tcBorders>
          </w:tcPr>
          <w:p w:rsidR="00C33EE6" w:rsidRDefault="00586869">
            <w:pPr>
              <w:jc w:val="center"/>
              <w:rPr>
                <w:u w:val="single"/>
              </w:rPr>
            </w:pPr>
            <w:r>
              <w:rPr>
                <w:u w:val="single"/>
              </w:rPr>
              <w:t>116</w:t>
            </w:r>
          </w:p>
          <w:p w:rsidR="00C33EE6" w:rsidRDefault="00586869">
            <w:pPr>
              <w:jc w:val="center"/>
            </w:pPr>
            <w:r>
              <w:t>50</w:t>
            </w:r>
          </w:p>
        </w:tc>
        <w:tc>
          <w:tcPr>
            <w:tcW w:w="1259" w:type="dxa"/>
            <w:tcBorders>
              <w:top w:val="single" w:sz="6" w:space="0" w:color="auto"/>
              <w:left w:val="single" w:sz="6" w:space="0" w:color="auto"/>
              <w:bottom w:val="single" w:sz="6" w:space="0" w:color="auto"/>
              <w:right w:val="single" w:sz="6" w:space="0" w:color="auto"/>
            </w:tcBorders>
          </w:tcPr>
          <w:p w:rsidR="00C33EE6" w:rsidRDefault="00586869">
            <w:pPr>
              <w:jc w:val="center"/>
              <w:rPr>
                <w:u w:val="single"/>
              </w:rPr>
            </w:pPr>
            <w:r>
              <w:rPr>
                <w:u w:val="single"/>
              </w:rPr>
              <w:t>34</w:t>
            </w:r>
          </w:p>
          <w:p w:rsidR="00C33EE6" w:rsidRDefault="00586869">
            <w:pPr>
              <w:jc w:val="center"/>
            </w:pPr>
            <w:r>
              <w:t>21</w:t>
            </w:r>
          </w:p>
        </w:tc>
        <w:tc>
          <w:tcPr>
            <w:tcW w:w="1259" w:type="dxa"/>
            <w:tcBorders>
              <w:top w:val="single" w:sz="6" w:space="0" w:color="auto"/>
              <w:left w:val="single" w:sz="6" w:space="0" w:color="auto"/>
              <w:bottom w:val="single" w:sz="6" w:space="0" w:color="auto"/>
              <w:right w:val="single" w:sz="6" w:space="0" w:color="auto"/>
            </w:tcBorders>
          </w:tcPr>
          <w:p w:rsidR="00C33EE6" w:rsidRDefault="00586869">
            <w:pPr>
              <w:jc w:val="center"/>
            </w:pPr>
            <w:r>
              <w:rPr>
                <w:u w:val="single"/>
              </w:rPr>
              <w:t>22</w:t>
            </w:r>
          </w:p>
          <w:p w:rsidR="00C33EE6" w:rsidRDefault="00586869">
            <w:pPr>
              <w:jc w:val="center"/>
            </w:pPr>
            <w:r>
              <w:t>12</w:t>
            </w:r>
          </w:p>
        </w:tc>
      </w:tr>
      <w:tr w:rsidR="00C33EE6" w:rsidTr="00A8592F">
        <w:trPr>
          <w:jc w:val="center"/>
        </w:trPr>
        <w:tc>
          <w:tcPr>
            <w:tcW w:w="1259" w:type="dxa"/>
            <w:tcBorders>
              <w:top w:val="single" w:sz="6" w:space="0" w:color="auto"/>
              <w:left w:val="single" w:sz="6" w:space="0" w:color="auto"/>
              <w:right w:val="single" w:sz="6" w:space="0" w:color="auto"/>
            </w:tcBorders>
          </w:tcPr>
          <w:p w:rsidR="00C33EE6" w:rsidRDefault="00C33EE6">
            <w:pPr>
              <w:jc w:val="center"/>
              <w:rPr>
                <w:lang w:val="en-US"/>
              </w:rPr>
            </w:pPr>
          </w:p>
        </w:tc>
        <w:tc>
          <w:tcPr>
            <w:tcW w:w="1259" w:type="dxa"/>
            <w:tcBorders>
              <w:top w:val="single" w:sz="6" w:space="0" w:color="auto"/>
              <w:left w:val="single" w:sz="6" w:space="0" w:color="auto"/>
              <w:bottom w:val="single" w:sz="6" w:space="0" w:color="auto"/>
              <w:right w:val="single" w:sz="6" w:space="0" w:color="auto"/>
            </w:tcBorders>
          </w:tcPr>
          <w:p w:rsidR="00C33EE6" w:rsidRDefault="00586869">
            <w:pPr>
              <w:jc w:val="center"/>
              <w:rPr>
                <w:lang w:val="en-US"/>
              </w:rPr>
            </w:pPr>
            <w:r>
              <w:rPr>
                <w:lang w:val="en-US"/>
              </w:rPr>
              <w:t>&lt;</w:t>
            </w:r>
            <w:r>
              <w:t xml:space="preserve"> 1 %</w:t>
            </w:r>
          </w:p>
        </w:tc>
        <w:tc>
          <w:tcPr>
            <w:tcW w:w="1259" w:type="dxa"/>
            <w:tcBorders>
              <w:top w:val="single" w:sz="6" w:space="0" w:color="auto"/>
              <w:left w:val="single" w:sz="6" w:space="0" w:color="auto"/>
              <w:bottom w:val="single" w:sz="6" w:space="0" w:color="auto"/>
              <w:right w:val="single" w:sz="6" w:space="0" w:color="auto"/>
            </w:tcBorders>
          </w:tcPr>
          <w:p w:rsidR="00C33EE6" w:rsidRDefault="00586869">
            <w:pPr>
              <w:jc w:val="center"/>
            </w:pPr>
            <w:r>
              <w:t>96</w:t>
            </w:r>
          </w:p>
        </w:tc>
        <w:tc>
          <w:tcPr>
            <w:tcW w:w="1259" w:type="dxa"/>
            <w:tcBorders>
              <w:top w:val="single" w:sz="6" w:space="0" w:color="auto"/>
              <w:left w:val="single" w:sz="6" w:space="0" w:color="auto"/>
              <w:bottom w:val="single" w:sz="6" w:space="0" w:color="auto"/>
              <w:right w:val="single" w:sz="6" w:space="0" w:color="auto"/>
            </w:tcBorders>
          </w:tcPr>
          <w:p w:rsidR="00C33EE6" w:rsidRDefault="00586869">
            <w:pPr>
              <w:jc w:val="center"/>
            </w:pPr>
            <w:r>
              <w:t>32</w:t>
            </w:r>
          </w:p>
        </w:tc>
        <w:tc>
          <w:tcPr>
            <w:tcW w:w="1259" w:type="dxa"/>
            <w:tcBorders>
              <w:top w:val="single" w:sz="6" w:space="0" w:color="auto"/>
              <w:left w:val="single" w:sz="6" w:space="0" w:color="auto"/>
              <w:bottom w:val="single" w:sz="6" w:space="0" w:color="auto"/>
              <w:right w:val="single" w:sz="6" w:space="0" w:color="auto"/>
            </w:tcBorders>
          </w:tcPr>
          <w:p w:rsidR="00C33EE6" w:rsidRDefault="00586869">
            <w:pPr>
              <w:jc w:val="center"/>
            </w:pPr>
            <w:r>
              <w:t>21</w:t>
            </w:r>
          </w:p>
        </w:tc>
      </w:tr>
      <w:tr w:rsidR="00C33EE6" w:rsidTr="00A8592F">
        <w:trPr>
          <w:jc w:val="center"/>
        </w:trPr>
        <w:tc>
          <w:tcPr>
            <w:tcW w:w="1259" w:type="dxa"/>
            <w:tcBorders>
              <w:left w:val="single" w:sz="6" w:space="0" w:color="auto"/>
              <w:right w:val="single" w:sz="6" w:space="0" w:color="auto"/>
            </w:tcBorders>
          </w:tcPr>
          <w:p w:rsidR="00C33EE6" w:rsidRDefault="00586869">
            <w:pPr>
              <w:jc w:val="center"/>
            </w:pPr>
            <w:r>
              <w:t>400</w:t>
            </w:r>
          </w:p>
        </w:tc>
        <w:tc>
          <w:tcPr>
            <w:tcW w:w="1259" w:type="dxa"/>
            <w:tcBorders>
              <w:top w:val="single" w:sz="6" w:space="0" w:color="auto"/>
              <w:left w:val="single" w:sz="6" w:space="0" w:color="auto"/>
              <w:bottom w:val="single" w:sz="6" w:space="0" w:color="auto"/>
              <w:right w:val="single" w:sz="6" w:space="0" w:color="auto"/>
            </w:tcBorders>
          </w:tcPr>
          <w:p w:rsidR="00C33EE6" w:rsidRDefault="00586869">
            <w:pPr>
              <w:jc w:val="center"/>
              <w:rPr>
                <w:lang w:val="en-US"/>
              </w:rPr>
            </w:pPr>
            <w:r>
              <w:t>1 - 3 %</w:t>
            </w:r>
          </w:p>
        </w:tc>
        <w:tc>
          <w:tcPr>
            <w:tcW w:w="1259" w:type="dxa"/>
            <w:tcBorders>
              <w:top w:val="single" w:sz="6" w:space="0" w:color="auto"/>
              <w:left w:val="single" w:sz="6" w:space="0" w:color="auto"/>
              <w:bottom w:val="single" w:sz="6" w:space="0" w:color="auto"/>
              <w:right w:val="single" w:sz="6" w:space="0" w:color="auto"/>
            </w:tcBorders>
          </w:tcPr>
          <w:p w:rsidR="00C33EE6" w:rsidRDefault="00586869">
            <w:pPr>
              <w:jc w:val="center"/>
            </w:pPr>
            <w:r>
              <w:rPr>
                <w:u w:val="single"/>
              </w:rPr>
              <w:t>116</w:t>
            </w:r>
          </w:p>
          <w:p w:rsidR="00C33EE6" w:rsidRDefault="00586869">
            <w:pPr>
              <w:jc w:val="center"/>
            </w:pPr>
            <w:r>
              <w:t>79</w:t>
            </w:r>
          </w:p>
        </w:tc>
        <w:tc>
          <w:tcPr>
            <w:tcW w:w="1259" w:type="dxa"/>
            <w:tcBorders>
              <w:top w:val="single" w:sz="6" w:space="0" w:color="auto"/>
              <w:left w:val="single" w:sz="6" w:space="0" w:color="auto"/>
              <w:bottom w:val="single" w:sz="6" w:space="0" w:color="auto"/>
              <w:right w:val="single" w:sz="6" w:space="0" w:color="auto"/>
            </w:tcBorders>
          </w:tcPr>
          <w:p w:rsidR="00C33EE6" w:rsidRDefault="00586869">
            <w:pPr>
              <w:jc w:val="center"/>
              <w:rPr>
                <w:u w:val="single"/>
              </w:rPr>
            </w:pPr>
            <w:r>
              <w:rPr>
                <w:u w:val="single"/>
              </w:rPr>
              <w:t>34</w:t>
            </w:r>
          </w:p>
          <w:p w:rsidR="00C33EE6" w:rsidRDefault="00586869">
            <w:pPr>
              <w:jc w:val="center"/>
            </w:pPr>
            <w:r>
              <w:t>29</w:t>
            </w:r>
          </w:p>
        </w:tc>
        <w:tc>
          <w:tcPr>
            <w:tcW w:w="1259" w:type="dxa"/>
            <w:tcBorders>
              <w:top w:val="single" w:sz="6" w:space="0" w:color="auto"/>
              <w:left w:val="single" w:sz="6" w:space="0" w:color="auto"/>
              <w:bottom w:val="single" w:sz="6" w:space="0" w:color="auto"/>
              <w:right w:val="single" w:sz="6" w:space="0" w:color="auto"/>
            </w:tcBorders>
          </w:tcPr>
          <w:p w:rsidR="00C33EE6" w:rsidRDefault="00586869">
            <w:pPr>
              <w:jc w:val="center"/>
              <w:rPr>
                <w:u w:val="single"/>
              </w:rPr>
            </w:pPr>
            <w:r>
              <w:rPr>
                <w:u w:val="single"/>
              </w:rPr>
              <w:t>22</w:t>
            </w:r>
          </w:p>
          <w:p w:rsidR="00C33EE6" w:rsidRDefault="00586869">
            <w:pPr>
              <w:jc w:val="center"/>
            </w:pPr>
            <w:r>
              <w:t>19</w:t>
            </w:r>
          </w:p>
        </w:tc>
      </w:tr>
      <w:tr w:rsidR="00C33EE6" w:rsidTr="00A8592F">
        <w:trPr>
          <w:jc w:val="center"/>
        </w:trPr>
        <w:tc>
          <w:tcPr>
            <w:tcW w:w="1259" w:type="dxa"/>
            <w:tcBorders>
              <w:left w:val="single" w:sz="6" w:space="0" w:color="auto"/>
              <w:bottom w:val="single" w:sz="6" w:space="0" w:color="auto"/>
              <w:right w:val="single" w:sz="6" w:space="0" w:color="auto"/>
            </w:tcBorders>
          </w:tcPr>
          <w:p w:rsidR="00C33EE6" w:rsidRDefault="00C33EE6">
            <w:pPr>
              <w:jc w:val="center"/>
            </w:pPr>
          </w:p>
        </w:tc>
        <w:tc>
          <w:tcPr>
            <w:tcW w:w="1259" w:type="dxa"/>
            <w:tcBorders>
              <w:top w:val="single" w:sz="6" w:space="0" w:color="auto"/>
              <w:left w:val="single" w:sz="6" w:space="0" w:color="auto"/>
              <w:bottom w:val="single" w:sz="6" w:space="0" w:color="auto"/>
              <w:right w:val="single" w:sz="6" w:space="0" w:color="auto"/>
            </w:tcBorders>
          </w:tcPr>
          <w:p w:rsidR="00C33EE6" w:rsidRDefault="00586869">
            <w:pPr>
              <w:jc w:val="center"/>
            </w:pPr>
            <w:r>
              <w:t>&gt; 3 %</w:t>
            </w:r>
          </w:p>
        </w:tc>
        <w:tc>
          <w:tcPr>
            <w:tcW w:w="1259" w:type="dxa"/>
            <w:tcBorders>
              <w:top w:val="single" w:sz="6" w:space="0" w:color="auto"/>
              <w:left w:val="single" w:sz="6" w:space="0" w:color="auto"/>
              <w:bottom w:val="single" w:sz="6" w:space="0" w:color="auto"/>
              <w:right w:val="single" w:sz="6" w:space="0" w:color="auto"/>
            </w:tcBorders>
          </w:tcPr>
          <w:p w:rsidR="00C33EE6" w:rsidRDefault="00586869">
            <w:pPr>
              <w:jc w:val="center"/>
            </w:pPr>
            <w:r>
              <w:rPr>
                <w:u w:val="single"/>
              </w:rPr>
              <w:t>132</w:t>
            </w:r>
          </w:p>
          <w:p w:rsidR="00C33EE6" w:rsidRDefault="00586869">
            <w:pPr>
              <w:jc w:val="center"/>
            </w:pPr>
            <w:r>
              <w:t>67</w:t>
            </w:r>
          </w:p>
        </w:tc>
        <w:tc>
          <w:tcPr>
            <w:tcW w:w="1259" w:type="dxa"/>
            <w:tcBorders>
              <w:top w:val="single" w:sz="6" w:space="0" w:color="auto"/>
              <w:left w:val="single" w:sz="6" w:space="0" w:color="auto"/>
              <w:bottom w:val="single" w:sz="6" w:space="0" w:color="auto"/>
              <w:right w:val="single" w:sz="6" w:space="0" w:color="auto"/>
            </w:tcBorders>
          </w:tcPr>
          <w:p w:rsidR="00C33EE6" w:rsidRDefault="00586869">
            <w:pPr>
              <w:jc w:val="center"/>
              <w:rPr>
                <w:u w:val="single"/>
              </w:rPr>
            </w:pPr>
            <w:r>
              <w:rPr>
                <w:u w:val="single"/>
              </w:rPr>
              <w:t>36</w:t>
            </w:r>
          </w:p>
          <w:p w:rsidR="00C33EE6" w:rsidRDefault="00586869">
            <w:pPr>
              <w:jc w:val="center"/>
            </w:pPr>
            <w:r>
              <w:t>35</w:t>
            </w:r>
          </w:p>
        </w:tc>
        <w:tc>
          <w:tcPr>
            <w:tcW w:w="1259" w:type="dxa"/>
            <w:tcBorders>
              <w:top w:val="single" w:sz="6" w:space="0" w:color="auto"/>
              <w:left w:val="single" w:sz="6" w:space="0" w:color="auto"/>
              <w:bottom w:val="single" w:sz="6" w:space="0" w:color="auto"/>
              <w:right w:val="single" w:sz="6" w:space="0" w:color="auto"/>
            </w:tcBorders>
          </w:tcPr>
          <w:p w:rsidR="00C33EE6" w:rsidRDefault="00586869">
            <w:pPr>
              <w:jc w:val="center"/>
            </w:pPr>
            <w:r>
              <w:rPr>
                <w:u w:val="single"/>
              </w:rPr>
              <w:t>22</w:t>
            </w:r>
          </w:p>
          <w:p w:rsidR="00C33EE6" w:rsidRDefault="00586869">
            <w:pPr>
              <w:jc w:val="center"/>
            </w:pPr>
            <w:r>
              <w:t>16</w:t>
            </w:r>
          </w:p>
        </w:tc>
      </w:tr>
      <w:tr w:rsidR="00C33EE6" w:rsidTr="00A8592F">
        <w:trPr>
          <w:jc w:val="center"/>
        </w:trPr>
        <w:tc>
          <w:tcPr>
            <w:tcW w:w="1259" w:type="dxa"/>
            <w:tcBorders>
              <w:top w:val="single" w:sz="6" w:space="0" w:color="auto"/>
              <w:left w:val="single" w:sz="6" w:space="0" w:color="auto"/>
              <w:right w:val="single" w:sz="6" w:space="0" w:color="auto"/>
            </w:tcBorders>
          </w:tcPr>
          <w:p w:rsidR="00C33EE6" w:rsidRDefault="00C33EE6">
            <w:pPr>
              <w:jc w:val="center"/>
              <w:rPr>
                <w:lang w:val="en-US"/>
              </w:rPr>
            </w:pPr>
          </w:p>
        </w:tc>
        <w:tc>
          <w:tcPr>
            <w:tcW w:w="1259" w:type="dxa"/>
            <w:tcBorders>
              <w:top w:val="single" w:sz="6" w:space="0" w:color="auto"/>
              <w:left w:val="single" w:sz="6" w:space="0" w:color="auto"/>
              <w:bottom w:val="single" w:sz="6" w:space="0" w:color="auto"/>
              <w:right w:val="single" w:sz="6" w:space="0" w:color="auto"/>
            </w:tcBorders>
          </w:tcPr>
          <w:p w:rsidR="00C33EE6" w:rsidRDefault="00586869">
            <w:pPr>
              <w:jc w:val="center"/>
              <w:rPr>
                <w:lang w:val="en-US"/>
              </w:rPr>
            </w:pPr>
            <w:r>
              <w:rPr>
                <w:lang w:val="en-US"/>
              </w:rPr>
              <w:t>&lt;</w:t>
            </w:r>
            <w:r>
              <w:t xml:space="preserve"> 1 %</w:t>
            </w:r>
          </w:p>
        </w:tc>
        <w:tc>
          <w:tcPr>
            <w:tcW w:w="1259" w:type="dxa"/>
            <w:tcBorders>
              <w:top w:val="single" w:sz="6" w:space="0" w:color="auto"/>
              <w:left w:val="single" w:sz="6" w:space="0" w:color="auto"/>
              <w:bottom w:val="single" w:sz="6" w:space="0" w:color="auto"/>
              <w:right w:val="single" w:sz="6" w:space="0" w:color="auto"/>
            </w:tcBorders>
          </w:tcPr>
          <w:p w:rsidR="00C33EE6" w:rsidRDefault="00586869">
            <w:pPr>
              <w:jc w:val="center"/>
            </w:pPr>
            <w:r>
              <w:t>102</w:t>
            </w:r>
          </w:p>
        </w:tc>
        <w:tc>
          <w:tcPr>
            <w:tcW w:w="1259" w:type="dxa"/>
            <w:tcBorders>
              <w:top w:val="single" w:sz="6" w:space="0" w:color="auto"/>
              <w:left w:val="single" w:sz="6" w:space="0" w:color="auto"/>
              <w:bottom w:val="single" w:sz="6" w:space="0" w:color="auto"/>
              <w:right w:val="single" w:sz="6" w:space="0" w:color="auto"/>
            </w:tcBorders>
          </w:tcPr>
          <w:p w:rsidR="00C33EE6" w:rsidRDefault="00586869">
            <w:pPr>
              <w:jc w:val="center"/>
            </w:pPr>
            <w:r>
              <w:t>35</w:t>
            </w:r>
          </w:p>
        </w:tc>
        <w:tc>
          <w:tcPr>
            <w:tcW w:w="1259" w:type="dxa"/>
            <w:tcBorders>
              <w:top w:val="single" w:sz="6" w:space="0" w:color="auto"/>
              <w:left w:val="single" w:sz="6" w:space="0" w:color="auto"/>
              <w:bottom w:val="single" w:sz="6" w:space="0" w:color="auto"/>
              <w:right w:val="single" w:sz="6" w:space="0" w:color="auto"/>
            </w:tcBorders>
          </w:tcPr>
          <w:p w:rsidR="00C33EE6" w:rsidRDefault="00586869">
            <w:pPr>
              <w:jc w:val="center"/>
            </w:pPr>
            <w:r>
              <w:t>22</w:t>
            </w:r>
          </w:p>
        </w:tc>
      </w:tr>
      <w:tr w:rsidR="00C33EE6" w:rsidTr="00A8592F">
        <w:trPr>
          <w:jc w:val="center"/>
        </w:trPr>
        <w:tc>
          <w:tcPr>
            <w:tcW w:w="1259" w:type="dxa"/>
            <w:tcBorders>
              <w:left w:val="single" w:sz="6" w:space="0" w:color="auto"/>
              <w:right w:val="single" w:sz="6" w:space="0" w:color="auto"/>
            </w:tcBorders>
          </w:tcPr>
          <w:p w:rsidR="00C33EE6" w:rsidRDefault="00586869">
            <w:pPr>
              <w:jc w:val="center"/>
            </w:pPr>
            <w:r>
              <w:rPr>
                <w:lang w:val="en-US"/>
              </w:rPr>
              <w:t>7</w:t>
            </w:r>
            <w:r>
              <w:t>00</w:t>
            </w:r>
          </w:p>
        </w:tc>
        <w:tc>
          <w:tcPr>
            <w:tcW w:w="1259" w:type="dxa"/>
            <w:tcBorders>
              <w:top w:val="single" w:sz="6" w:space="0" w:color="auto"/>
              <w:left w:val="single" w:sz="6" w:space="0" w:color="auto"/>
              <w:bottom w:val="single" w:sz="6" w:space="0" w:color="auto"/>
              <w:right w:val="single" w:sz="6" w:space="0" w:color="auto"/>
            </w:tcBorders>
          </w:tcPr>
          <w:p w:rsidR="00C33EE6" w:rsidRDefault="00586869">
            <w:pPr>
              <w:jc w:val="center"/>
              <w:rPr>
                <w:lang w:val="en-US"/>
              </w:rPr>
            </w:pPr>
            <w:r>
              <w:t>1 - 3 %</w:t>
            </w:r>
          </w:p>
        </w:tc>
        <w:tc>
          <w:tcPr>
            <w:tcW w:w="1259" w:type="dxa"/>
            <w:tcBorders>
              <w:top w:val="single" w:sz="6" w:space="0" w:color="auto"/>
              <w:left w:val="single" w:sz="6" w:space="0" w:color="auto"/>
              <w:bottom w:val="single" w:sz="6" w:space="0" w:color="auto"/>
              <w:right w:val="single" w:sz="6" w:space="0" w:color="auto"/>
            </w:tcBorders>
          </w:tcPr>
          <w:p w:rsidR="00C33EE6" w:rsidRDefault="00586869">
            <w:pPr>
              <w:jc w:val="center"/>
            </w:pPr>
            <w:r>
              <w:rPr>
                <w:u w:val="single"/>
              </w:rPr>
              <w:t>132</w:t>
            </w:r>
          </w:p>
          <w:p w:rsidR="00C33EE6" w:rsidRDefault="00586869">
            <w:pPr>
              <w:jc w:val="center"/>
            </w:pPr>
            <w:r>
              <w:t>93</w:t>
            </w:r>
          </w:p>
        </w:tc>
        <w:tc>
          <w:tcPr>
            <w:tcW w:w="1259" w:type="dxa"/>
            <w:tcBorders>
              <w:top w:val="single" w:sz="6" w:space="0" w:color="auto"/>
              <w:left w:val="single" w:sz="6" w:space="0" w:color="auto"/>
              <w:bottom w:val="single" w:sz="6" w:space="0" w:color="auto"/>
              <w:right w:val="single" w:sz="6" w:space="0" w:color="auto"/>
            </w:tcBorders>
          </w:tcPr>
          <w:p w:rsidR="00C33EE6" w:rsidRDefault="00586869">
            <w:pPr>
              <w:jc w:val="center"/>
            </w:pPr>
            <w:r>
              <w:rPr>
                <w:u w:val="single"/>
              </w:rPr>
              <w:t>36</w:t>
            </w:r>
          </w:p>
          <w:p w:rsidR="00C33EE6" w:rsidRDefault="00586869">
            <w:pPr>
              <w:jc w:val="center"/>
            </w:pPr>
            <w:r>
              <w:t>33</w:t>
            </w:r>
          </w:p>
        </w:tc>
        <w:tc>
          <w:tcPr>
            <w:tcW w:w="1259" w:type="dxa"/>
            <w:tcBorders>
              <w:top w:val="single" w:sz="6" w:space="0" w:color="auto"/>
              <w:left w:val="single" w:sz="6" w:space="0" w:color="auto"/>
              <w:bottom w:val="single" w:sz="6" w:space="0" w:color="auto"/>
              <w:right w:val="single" w:sz="6" w:space="0" w:color="auto"/>
            </w:tcBorders>
          </w:tcPr>
          <w:p w:rsidR="00C33EE6" w:rsidRDefault="00586869">
            <w:pPr>
              <w:jc w:val="center"/>
            </w:pPr>
            <w:r>
              <w:rPr>
                <w:u w:val="single"/>
              </w:rPr>
              <w:t>22</w:t>
            </w:r>
          </w:p>
          <w:p w:rsidR="00C33EE6" w:rsidRDefault="00586869">
            <w:pPr>
              <w:jc w:val="center"/>
            </w:pPr>
            <w:r>
              <w:t>20</w:t>
            </w:r>
          </w:p>
        </w:tc>
      </w:tr>
      <w:tr w:rsidR="00C33EE6" w:rsidTr="00A8592F">
        <w:trPr>
          <w:jc w:val="center"/>
        </w:trPr>
        <w:tc>
          <w:tcPr>
            <w:tcW w:w="1259" w:type="dxa"/>
            <w:tcBorders>
              <w:left w:val="single" w:sz="6" w:space="0" w:color="auto"/>
              <w:bottom w:val="single" w:sz="6" w:space="0" w:color="auto"/>
              <w:right w:val="single" w:sz="6" w:space="0" w:color="auto"/>
            </w:tcBorders>
          </w:tcPr>
          <w:p w:rsidR="00C33EE6" w:rsidRDefault="00C33EE6">
            <w:pPr>
              <w:jc w:val="center"/>
            </w:pPr>
          </w:p>
        </w:tc>
        <w:tc>
          <w:tcPr>
            <w:tcW w:w="1259" w:type="dxa"/>
            <w:tcBorders>
              <w:top w:val="single" w:sz="6" w:space="0" w:color="auto"/>
              <w:left w:val="single" w:sz="6" w:space="0" w:color="auto"/>
              <w:bottom w:val="single" w:sz="6" w:space="0" w:color="auto"/>
              <w:right w:val="single" w:sz="6" w:space="0" w:color="auto"/>
            </w:tcBorders>
          </w:tcPr>
          <w:p w:rsidR="00C33EE6" w:rsidRDefault="00586869">
            <w:pPr>
              <w:jc w:val="center"/>
            </w:pPr>
            <w:r>
              <w:t>&gt; 3 %</w:t>
            </w:r>
          </w:p>
        </w:tc>
        <w:tc>
          <w:tcPr>
            <w:tcW w:w="1259" w:type="dxa"/>
            <w:tcBorders>
              <w:top w:val="single" w:sz="6" w:space="0" w:color="auto"/>
              <w:left w:val="single" w:sz="6" w:space="0" w:color="auto"/>
              <w:bottom w:val="single" w:sz="6" w:space="0" w:color="auto"/>
              <w:right w:val="single" w:sz="6" w:space="0" w:color="auto"/>
            </w:tcBorders>
          </w:tcPr>
          <w:p w:rsidR="00C33EE6" w:rsidRDefault="00586869">
            <w:pPr>
              <w:jc w:val="center"/>
            </w:pPr>
            <w:r>
              <w:rPr>
                <w:u w:val="single"/>
              </w:rPr>
              <w:t>140</w:t>
            </w:r>
          </w:p>
          <w:p w:rsidR="00C33EE6" w:rsidRDefault="00586869">
            <w:pPr>
              <w:jc w:val="center"/>
              <w:rPr>
                <w:lang w:val="en-US"/>
              </w:rPr>
            </w:pPr>
            <w:r>
              <w:rPr>
                <w:lang w:val="en-US"/>
              </w:rPr>
              <w:t>7</w:t>
            </w:r>
            <w:r>
              <w:t>8</w:t>
            </w:r>
          </w:p>
        </w:tc>
        <w:tc>
          <w:tcPr>
            <w:tcW w:w="1259" w:type="dxa"/>
            <w:tcBorders>
              <w:top w:val="single" w:sz="6" w:space="0" w:color="auto"/>
              <w:left w:val="single" w:sz="6" w:space="0" w:color="auto"/>
              <w:bottom w:val="single" w:sz="6" w:space="0" w:color="auto"/>
              <w:right w:val="single" w:sz="6" w:space="0" w:color="auto"/>
            </w:tcBorders>
          </w:tcPr>
          <w:p w:rsidR="00C33EE6" w:rsidRDefault="00586869">
            <w:pPr>
              <w:jc w:val="center"/>
            </w:pPr>
            <w:r>
              <w:rPr>
                <w:u w:val="single"/>
              </w:rPr>
              <w:t>36</w:t>
            </w:r>
          </w:p>
          <w:p w:rsidR="00C33EE6" w:rsidRDefault="00586869">
            <w:pPr>
              <w:jc w:val="center"/>
            </w:pPr>
            <w:r>
              <w:t>29</w:t>
            </w:r>
          </w:p>
        </w:tc>
        <w:tc>
          <w:tcPr>
            <w:tcW w:w="1259" w:type="dxa"/>
            <w:tcBorders>
              <w:top w:val="single" w:sz="6" w:space="0" w:color="auto"/>
              <w:left w:val="single" w:sz="6" w:space="0" w:color="auto"/>
              <w:bottom w:val="single" w:sz="6" w:space="0" w:color="auto"/>
              <w:right w:val="single" w:sz="6" w:space="0" w:color="auto"/>
            </w:tcBorders>
          </w:tcPr>
          <w:p w:rsidR="00C33EE6" w:rsidRDefault="00586869">
            <w:pPr>
              <w:jc w:val="center"/>
            </w:pPr>
            <w:r>
              <w:rPr>
                <w:u w:val="single"/>
              </w:rPr>
              <w:t>22</w:t>
            </w:r>
          </w:p>
          <w:p w:rsidR="00C33EE6" w:rsidRDefault="00586869">
            <w:pPr>
              <w:jc w:val="center"/>
            </w:pPr>
            <w:r>
              <w:t>19</w:t>
            </w:r>
          </w:p>
        </w:tc>
      </w:tr>
      <w:tr w:rsidR="00C33EE6" w:rsidTr="00A8592F">
        <w:trPr>
          <w:jc w:val="center"/>
        </w:trPr>
        <w:tc>
          <w:tcPr>
            <w:tcW w:w="1259" w:type="dxa"/>
            <w:tcBorders>
              <w:top w:val="single" w:sz="6" w:space="0" w:color="auto"/>
              <w:left w:val="single" w:sz="6" w:space="0" w:color="auto"/>
              <w:right w:val="single" w:sz="6" w:space="0" w:color="auto"/>
            </w:tcBorders>
          </w:tcPr>
          <w:p w:rsidR="00C33EE6" w:rsidRDefault="00C33EE6">
            <w:pPr>
              <w:jc w:val="center"/>
            </w:pPr>
          </w:p>
        </w:tc>
        <w:tc>
          <w:tcPr>
            <w:tcW w:w="1259" w:type="dxa"/>
            <w:tcBorders>
              <w:top w:val="single" w:sz="6" w:space="0" w:color="auto"/>
              <w:left w:val="single" w:sz="6" w:space="0" w:color="auto"/>
              <w:bottom w:val="single" w:sz="6" w:space="0" w:color="auto"/>
              <w:right w:val="single" w:sz="6" w:space="0" w:color="auto"/>
            </w:tcBorders>
          </w:tcPr>
          <w:p w:rsidR="00C33EE6" w:rsidRDefault="00586869">
            <w:pPr>
              <w:jc w:val="center"/>
              <w:rPr>
                <w:lang w:val="en-US"/>
              </w:rPr>
            </w:pPr>
            <w:r>
              <w:rPr>
                <w:lang w:val="en-US"/>
              </w:rPr>
              <w:t>&lt;</w:t>
            </w:r>
            <w:r>
              <w:t xml:space="preserve"> 1 %</w:t>
            </w:r>
          </w:p>
        </w:tc>
        <w:tc>
          <w:tcPr>
            <w:tcW w:w="1259" w:type="dxa"/>
            <w:tcBorders>
              <w:top w:val="single" w:sz="6" w:space="0" w:color="auto"/>
              <w:left w:val="single" w:sz="6" w:space="0" w:color="auto"/>
              <w:bottom w:val="single" w:sz="6" w:space="0" w:color="auto"/>
              <w:right w:val="single" w:sz="6" w:space="0" w:color="auto"/>
            </w:tcBorders>
          </w:tcPr>
          <w:p w:rsidR="00C33EE6" w:rsidRDefault="00586869">
            <w:pPr>
              <w:jc w:val="center"/>
            </w:pPr>
            <w:r>
              <w:t>114</w:t>
            </w:r>
          </w:p>
        </w:tc>
        <w:tc>
          <w:tcPr>
            <w:tcW w:w="1259" w:type="dxa"/>
            <w:tcBorders>
              <w:top w:val="single" w:sz="6" w:space="0" w:color="auto"/>
              <w:left w:val="single" w:sz="6" w:space="0" w:color="auto"/>
              <w:bottom w:val="single" w:sz="6" w:space="0" w:color="auto"/>
              <w:right w:val="single" w:sz="6" w:space="0" w:color="auto"/>
            </w:tcBorders>
          </w:tcPr>
          <w:p w:rsidR="00C33EE6" w:rsidRDefault="00586869">
            <w:pPr>
              <w:jc w:val="center"/>
            </w:pPr>
            <w:r>
              <w:t>36</w:t>
            </w:r>
          </w:p>
        </w:tc>
        <w:tc>
          <w:tcPr>
            <w:tcW w:w="1259" w:type="dxa"/>
            <w:tcBorders>
              <w:top w:val="single" w:sz="6" w:space="0" w:color="auto"/>
              <w:left w:val="single" w:sz="6" w:space="0" w:color="auto"/>
              <w:bottom w:val="single" w:sz="6" w:space="0" w:color="auto"/>
              <w:right w:val="single" w:sz="6" w:space="0" w:color="auto"/>
            </w:tcBorders>
          </w:tcPr>
          <w:p w:rsidR="00C33EE6" w:rsidRDefault="00586869">
            <w:pPr>
              <w:jc w:val="center"/>
            </w:pPr>
            <w:r>
              <w:t>22</w:t>
            </w:r>
          </w:p>
        </w:tc>
      </w:tr>
      <w:tr w:rsidR="00C33EE6" w:rsidTr="00A8592F">
        <w:trPr>
          <w:jc w:val="center"/>
        </w:trPr>
        <w:tc>
          <w:tcPr>
            <w:tcW w:w="1259" w:type="dxa"/>
            <w:tcBorders>
              <w:left w:val="single" w:sz="6" w:space="0" w:color="auto"/>
              <w:right w:val="single" w:sz="6" w:space="0" w:color="auto"/>
            </w:tcBorders>
          </w:tcPr>
          <w:p w:rsidR="00C33EE6" w:rsidRDefault="00586869">
            <w:pPr>
              <w:jc w:val="center"/>
              <w:rPr>
                <w:lang w:val="en-US"/>
              </w:rPr>
            </w:pPr>
            <w:r>
              <w:t>1000</w:t>
            </w:r>
          </w:p>
        </w:tc>
        <w:tc>
          <w:tcPr>
            <w:tcW w:w="1259" w:type="dxa"/>
            <w:tcBorders>
              <w:top w:val="single" w:sz="6" w:space="0" w:color="auto"/>
              <w:left w:val="single" w:sz="6" w:space="0" w:color="auto"/>
              <w:bottom w:val="single" w:sz="6" w:space="0" w:color="auto"/>
              <w:right w:val="single" w:sz="6" w:space="0" w:color="auto"/>
            </w:tcBorders>
          </w:tcPr>
          <w:p w:rsidR="00C33EE6" w:rsidRDefault="00586869">
            <w:pPr>
              <w:jc w:val="center"/>
              <w:rPr>
                <w:lang w:val="en-US"/>
              </w:rPr>
            </w:pPr>
            <w:r>
              <w:t>1 - 3 %</w:t>
            </w:r>
          </w:p>
        </w:tc>
        <w:tc>
          <w:tcPr>
            <w:tcW w:w="1259" w:type="dxa"/>
            <w:tcBorders>
              <w:top w:val="single" w:sz="6" w:space="0" w:color="auto"/>
              <w:left w:val="single" w:sz="6" w:space="0" w:color="auto"/>
              <w:bottom w:val="single" w:sz="6" w:space="0" w:color="auto"/>
              <w:right w:val="single" w:sz="6" w:space="0" w:color="auto"/>
            </w:tcBorders>
          </w:tcPr>
          <w:p w:rsidR="00C33EE6" w:rsidRDefault="00586869">
            <w:pPr>
              <w:jc w:val="center"/>
            </w:pPr>
            <w:r>
              <w:rPr>
                <w:u w:val="single"/>
              </w:rPr>
              <w:t>142</w:t>
            </w:r>
          </w:p>
          <w:p w:rsidR="00C33EE6" w:rsidRDefault="00586869">
            <w:pPr>
              <w:jc w:val="center"/>
            </w:pPr>
            <w:r>
              <w:t>100</w:t>
            </w:r>
          </w:p>
        </w:tc>
        <w:tc>
          <w:tcPr>
            <w:tcW w:w="1259" w:type="dxa"/>
            <w:tcBorders>
              <w:top w:val="single" w:sz="6" w:space="0" w:color="auto"/>
              <w:left w:val="single" w:sz="6" w:space="0" w:color="auto"/>
              <w:bottom w:val="single" w:sz="6" w:space="0" w:color="auto"/>
              <w:right w:val="single" w:sz="6" w:space="0" w:color="auto"/>
            </w:tcBorders>
          </w:tcPr>
          <w:p w:rsidR="00C33EE6" w:rsidRDefault="00586869">
            <w:pPr>
              <w:jc w:val="center"/>
            </w:pPr>
            <w:r>
              <w:rPr>
                <w:u w:val="single"/>
              </w:rPr>
              <w:t>36</w:t>
            </w:r>
          </w:p>
          <w:p w:rsidR="00C33EE6" w:rsidRDefault="00586869">
            <w:pPr>
              <w:jc w:val="center"/>
            </w:pPr>
            <w:r>
              <w:t>34</w:t>
            </w:r>
          </w:p>
        </w:tc>
        <w:tc>
          <w:tcPr>
            <w:tcW w:w="1259" w:type="dxa"/>
            <w:tcBorders>
              <w:top w:val="single" w:sz="6" w:space="0" w:color="auto"/>
              <w:left w:val="single" w:sz="6" w:space="0" w:color="auto"/>
              <w:bottom w:val="single" w:sz="6" w:space="0" w:color="auto"/>
              <w:right w:val="single" w:sz="6" w:space="0" w:color="auto"/>
            </w:tcBorders>
          </w:tcPr>
          <w:p w:rsidR="00C33EE6" w:rsidRDefault="00586869">
            <w:pPr>
              <w:jc w:val="center"/>
            </w:pPr>
            <w:r>
              <w:rPr>
                <w:u w:val="single"/>
              </w:rPr>
              <w:t>22</w:t>
            </w:r>
          </w:p>
          <w:p w:rsidR="00C33EE6" w:rsidRDefault="00586869">
            <w:pPr>
              <w:jc w:val="center"/>
            </w:pPr>
            <w:r>
              <w:t>21</w:t>
            </w:r>
          </w:p>
        </w:tc>
      </w:tr>
      <w:tr w:rsidR="00C33EE6" w:rsidTr="00A8592F">
        <w:trPr>
          <w:jc w:val="center"/>
        </w:trPr>
        <w:tc>
          <w:tcPr>
            <w:tcW w:w="1259" w:type="dxa"/>
            <w:tcBorders>
              <w:left w:val="single" w:sz="6" w:space="0" w:color="auto"/>
              <w:right w:val="single" w:sz="6" w:space="0" w:color="auto"/>
            </w:tcBorders>
          </w:tcPr>
          <w:p w:rsidR="00C33EE6" w:rsidRDefault="00C33EE6">
            <w:pPr>
              <w:jc w:val="center"/>
            </w:pPr>
          </w:p>
        </w:tc>
        <w:tc>
          <w:tcPr>
            <w:tcW w:w="1259" w:type="dxa"/>
            <w:tcBorders>
              <w:top w:val="single" w:sz="6" w:space="0" w:color="auto"/>
              <w:left w:val="single" w:sz="6" w:space="0" w:color="auto"/>
              <w:right w:val="single" w:sz="6" w:space="0" w:color="auto"/>
            </w:tcBorders>
          </w:tcPr>
          <w:p w:rsidR="00C33EE6" w:rsidRDefault="00586869">
            <w:pPr>
              <w:jc w:val="center"/>
            </w:pPr>
            <w:r>
              <w:t>&gt; 3 %</w:t>
            </w:r>
          </w:p>
        </w:tc>
        <w:tc>
          <w:tcPr>
            <w:tcW w:w="1259" w:type="dxa"/>
            <w:tcBorders>
              <w:top w:val="single" w:sz="6" w:space="0" w:color="auto"/>
              <w:left w:val="single" w:sz="6" w:space="0" w:color="auto"/>
              <w:right w:val="single" w:sz="6" w:space="0" w:color="auto"/>
            </w:tcBorders>
          </w:tcPr>
          <w:p w:rsidR="00C33EE6" w:rsidRDefault="00586869">
            <w:pPr>
              <w:jc w:val="center"/>
              <w:rPr>
                <w:u w:val="single"/>
              </w:rPr>
            </w:pPr>
            <w:r>
              <w:rPr>
                <w:u w:val="single"/>
              </w:rPr>
              <w:t>155</w:t>
            </w:r>
          </w:p>
          <w:p w:rsidR="00C33EE6" w:rsidRDefault="00586869">
            <w:pPr>
              <w:jc w:val="center"/>
            </w:pPr>
            <w:r>
              <w:t>93</w:t>
            </w:r>
          </w:p>
        </w:tc>
        <w:tc>
          <w:tcPr>
            <w:tcW w:w="1259" w:type="dxa"/>
            <w:tcBorders>
              <w:top w:val="single" w:sz="6" w:space="0" w:color="auto"/>
              <w:left w:val="single" w:sz="6" w:space="0" w:color="auto"/>
              <w:right w:val="single" w:sz="6" w:space="0" w:color="auto"/>
            </w:tcBorders>
          </w:tcPr>
          <w:p w:rsidR="00C33EE6" w:rsidRDefault="00586869">
            <w:pPr>
              <w:jc w:val="center"/>
            </w:pPr>
            <w:r>
              <w:rPr>
                <w:u w:val="single"/>
              </w:rPr>
              <w:t>36</w:t>
            </w:r>
          </w:p>
          <w:p w:rsidR="00C33EE6" w:rsidRDefault="00586869">
            <w:pPr>
              <w:jc w:val="center"/>
            </w:pPr>
            <w:r>
              <w:t>32</w:t>
            </w:r>
          </w:p>
        </w:tc>
        <w:tc>
          <w:tcPr>
            <w:tcW w:w="1259" w:type="dxa"/>
            <w:tcBorders>
              <w:top w:val="single" w:sz="6" w:space="0" w:color="auto"/>
              <w:left w:val="single" w:sz="6" w:space="0" w:color="auto"/>
              <w:right w:val="single" w:sz="6" w:space="0" w:color="auto"/>
            </w:tcBorders>
          </w:tcPr>
          <w:p w:rsidR="00C33EE6" w:rsidRDefault="00586869">
            <w:pPr>
              <w:jc w:val="center"/>
            </w:pPr>
            <w:r>
              <w:rPr>
                <w:u w:val="single"/>
              </w:rPr>
              <w:t>22</w:t>
            </w:r>
          </w:p>
          <w:p w:rsidR="00C33EE6" w:rsidRDefault="00586869">
            <w:pPr>
              <w:jc w:val="center"/>
            </w:pPr>
            <w:r>
              <w:t>20</w:t>
            </w:r>
          </w:p>
        </w:tc>
      </w:tr>
      <w:tr w:rsidR="00C33EE6" w:rsidTr="00A8592F">
        <w:trPr>
          <w:jc w:val="center"/>
        </w:trPr>
        <w:tc>
          <w:tcPr>
            <w:tcW w:w="1259" w:type="dxa"/>
            <w:tcBorders>
              <w:top w:val="single" w:sz="6" w:space="0" w:color="auto"/>
              <w:left w:val="single" w:sz="6" w:space="0" w:color="auto"/>
              <w:right w:val="single" w:sz="6" w:space="0" w:color="auto"/>
            </w:tcBorders>
          </w:tcPr>
          <w:p w:rsidR="00C33EE6" w:rsidRDefault="00C33EE6">
            <w:pPr>
              <w:jc w:val="center"/>
            </w:pPr>
          </w:p>
        </w:tc>
        <w:tc>
          <w:tcPr>
            <w:tcW w:w="1259" w:type="dxa"/>
            <w:tcBorders>
              <w:top w:val="single" w:sz="6" w:space="0" w:color="auto"/>
              <w:left w:val="single" w:sz="6" w:space="0" w:color="auto"/>
              <w:bottom w:val="single" w:sz="6" w:space="0" w:color="auto"/>
              <w:right w:val="single" w:sz="6" w:space="0" w:color="auto"/>
            </w:tcBorders>
          </w:tcPr>
          <w:p w:rsidR="00C33EE6" w:rsidRDefault="00586869">
            <w:pPr>
              <w:jc w:val="center"/>
              <w:rPr>
                <w:i/>
              </w:rPr>
            </w:pPr>
            <w:r>
              <w:t>&lt; 1 %</w:t>
            </w:r>
          </w:p>
        </w:tc>
        <w:tc>
          <w:tcPr>
            <w:tcW w:w="1259" w:type="dxa"/>
            <w:tcBorders>
              <w:top w:val="single" w:sz="6" w:space="0" w:color="auto"/>
              <w:left w:val="single" w:sz="6" w:space="0" w:color="auto"/>
              <w:bottom w:val="single" w:sz="6" w:space="0" w:color="auto"/>
              <w:right w:val="single" w:sz="6" w:space="0" w:color="auto"/>
            </w:tcBorders>
          </w:tcPr>
          <w:p w:rsidR="00C33EE6" w:rsidRDefault="00586869">
            <w:pPr>
              <w:jc w:val="center"/>
            </w:pPr>
            <w:r>
              <w:t>137</w:t>
            </w:r>
          </w:p>
        </w:tc>
        <w:tc>
          <w:tcPr>
            <w:tcW w:w="1259" w:type="dxa"/>
            <w:tcBorders>
              <w:top w:val="single" w:sz="6" w:space="0" w:color="auto"/>
              <w:left w:val="single" w:sz="6" w:space="0" w:color="auto"/>
              <w:bottom w:val="single" w:sz="6" w:space="0" w:color="auto"/>
              <w:right w:val="single" w:sz="6" w:space="0" w:color="auto"/>
            </w:tcBorders>
          </w:tcPr>
          <w:p w:rsidR="00C33EE6" w:rsidRDefault="00586869">
            <w:pPr>
              <w:jc w:val="center"/>
            </w:pPr>
            <w:r>
              <w:t>86</w:t>
            </w:r>
          </w:p>
        </w:tc>
        <w:tc>
          <w:tcPr>
            <w:tcW w:w="1259" w:type="dxa"/>
            <w:tcBorders>
              <w:top w:val="single" w:sz="6" w:space="0" w:color="auto"/>
              <w:left w:val="single" w:sz="6" w:space="0" w:color="auto"/>
              <w:bottom w:val="single" w:sz="6" w:space="0" w:color="auto"/>
              <w:right w:val="single" w:sz="6" w:space="0" w:color="auto"/>
            </w:tcBorders>
          </w:tcPr>
          <w:p w:rsidR="00C33EE6" w:rsidRDefault="00586869">
            <w:pPr>
              <w:jc w:val="center"/>
            </w:pPr>
            <w:r>
              <w:t>70</w:t>
            </w:r>
          </w:p>
        </w:tc>
      </w:tr>
      <w:tr w:rsidR="00C33EE6" w:rsidTr="00A8592F">
        <w:trPr>
          <w:jc w:val="center"/>
        </w:trPr>
        <w:tc>
          <w:tcPr>
            <w:tcW w:w="1259" w:type="dxa"/>
            <w:tcBorders>
              <w:left w:val="single" w:sz="6" w:space="0" w:color="auto"/>
              <w:right w:val="single" w:sz="6" w:space="0" w:color="auto"/>
            </w:tcBorders>
          </w:tcPr>
          <w:p w:rsidR="00C33EE6" w:rsidRDefault="00586869">
            <w:pPr>
              <w:jc w:val="center"/>
            </w:pPr>
            <w:r>
              <w:t>2000</w:t>
            </w:r>
          </w:p>
        </w:tc>
        <w:tc>
          <w:tcPr>
            <w:tcW w:w="1259" w:type="dxa"/>
            <w:tcBorders>
              <w:left w:val="single" w:sz="6" w:space="0" w:color="auto"/>
              <w:bottom w:val="single" w:sz="6" w:space="0" w:color="auto"/>
              <w:right w:val="single" w:sz="6" w:space="0" w:color="auto"/>
            </w:tcBorders>
          </w:tcPr>
          <w:p w:rsidR="00C33EE6" w:rsidRDefault="00586869">
            <w:pPr>
              <w:jc w:val="center"/>
            </w:pPr>
            <w:r>
              <w:t>1-3 %</w:t>
            </w:r>
          </w:p>
        </w:tc>
        <w:tc>
          <w:tcPr>
            <w:tcW w:w="1259" w:type="dxa"/>
            <w:tcBorders>
              <w:left w:val="single" w:sz="6" w:space="0" w:color="auto"/>
              <w:bottom w:val="single" w:sz="6" w:space="0" w:color="auto"/>
              <w:right w:val="single" w:sz="6" w:space="0" w:color="auto"/>
            </w:tcBorders>
          </w:tcPr>
          <w:p w:rsidR="00C33EE6" w:rsidRDefault="00586869">
            <w:pPr>
              <w:jc w:val="center"/>
            </w:pPr>
            <w:r>
              <w:rPr>
                <w:u w:val="single"/>
              </w:rPr>
              <w:t>155</w:t>
            </w:r>
          </w:p>
          <w:p w:rsidR="00C33EE6" w:rsidRDefault="00586869">
            <w:pPr>
              <w:jc w:val="center"/>
            </w:pPr>
            <w:r>
              <w:t>116</w:t>
            </w:r>
          </w:p>
        </w:tc>
        <w:tc>
          <w:tcPr>
            <w:tcW w:w="1259" w:type="dxa"/>
            <w:tcBorders>
              <w:left w:val="single" w:sz="6" w:space="0" w:color="auto"/>
              <w:bottom w:val="single" w:sz="6" w:space="0" w:color="auto"/>
              <w:right w:val="single" w:sz="6" w:space="0" w:color="auto"/>
            </w:tcBorders>
          </w:tcPr>
          <w:p w:rsidR="00C33EE6" w:rsidRDefault="00586869">
            <w:pPr>
              <w:jc w:val="center"/>
            </w:pPr>
            <w:r>
              <w:rPr>
                <w:u w:val="single"/>
              </w:rPr>
              <w:t>36</w:t>
            </w:r>
          </w:p>
          <w:p w:rsidR="00C33EE6" w:rsidRDefault="00586869">
            <w:pPr>
              <w:jc w:val="center"/>
            </w:pPr>
            <w:r>
              <w:t>35</w:t>
            </w:r>
          </w:p>
        </w:tc>
        <w:tc>
          <w:tcPr>
            <w:tcW w:w="1259" w:type="dxa"/>
            <w:tcBorders>
              <w:left w:val="single" w:sz="6" w:space="0" w:color="auto"/>
              <w:bottom w:val="single" w:sz="6" w:space="0" w:color="auto"/>
              <w:right w:val="single" w:sz="6" w:space="0" w:color="auto"/>
            </w:tcBorders>
          </w:tcPr>
          <w:p w:rsidR="00C33EE6" w:rsidRDefault="00586869">
            <w:pPr>
              <w:jc w:val="center"/>
            </w:pPr>
            <w:r>
              <w:rPr>
                <w:u w:val="single"/>
              </w:rPr>
              <w:t>22</w:t>
            </w:r>
          </w:p>
          <w:p w:rsidR="00C33EE6" w:rsidRDefault="00586869">
            <w:pPr>
              <w:jc w:val="center"/>
            </w:pPr>
            <w:r>
              <w:t>22</w:t>
            </w:r>
          </w:p>
        </w:tc>
      </w:tr>
      <w:tr w:rsidR="00C33EE6" w:rsidTr="00A8592F">
        <w:trPr>
          <w:jc w:val="center"/>
        </w:trPr>
        <w:tc>
          <w:tcPr>
            <w:tcW w:w="1259" w:type="dxa"/>
            <w:tcBorders>
              <w:left w:val="single" w:sz="6" w:space="0" w:color="auto"/>
              <w:bottom w:val="single" w:sz="6" w:space="0" w:color="auto"/>
              <w:right w:val="single" w:sz="6" w:space="0" w:color="auto"/>
            </w:tcBorders>
          </w:tcPr>
          <w:p w:rsidR="00C33EE6" w:rsidRDefault="00C33EE6">
            <w:pPr>
              <w:jc w:val="center"/>
            </w:pPr>
          </w:p>
        </w:tc>
        <w:tc>
          <w:tcPr>
            <w:tcW w:w="1259" w:type="dxa"/>
            <w:tcBorders>
              <w:top w:val="single" w:sz="6" w:space="0" w:color="auto"/>
              <w:left w:val="single" w:sz="6" w:space="0" w:color="auto"/>
              <w:bottom w:val="single" w:sz="6" w:space="0" w:color="auto"/>
              <w:right w:val="single" w:sz="6" w:space="0" w:color="auto"/>
            </w:tcBorders>
          </w:tcPr>
          <w:p w:rsidR="00C33EE6" w:rsidRDefault="00586869">
            <w:pPr>
              <w:jc w:val="center"/>
            </w:pPr>
            <w:r>
              <w:t>&gt; 3 %</w:t>
            </w:r>
          </w:p>
        </w:tc>
        <w:tc>
          <w:tcPr>
            <w:tcW w:w="1259" w:type="dxa"/>
            <w:tcBorders>
              <w:top w:val="single" w:sz="6" w:space="0" w:color="auto"/>
              <w:left w:val="single" w:sz="6" w:space="0" w:color="auto"/>
              <w:bottom w:val="single" w:sz="6" w:space="0" w:color="auto"/>
              <w:right w:val="single" w:sz="6" w:space="0" w:color="auto"/>
            </w:tcBorders>
          </w:tcPr>
          <w:p w:rsidR="00C33EE6" w:rsidRDefault="00586869">
            <w:pPr>
              <w:jc w:val="center"/>
            </w:pPr>
            <w:r>
              <w:rPr>
                <w:u w:val="single"/>
              </w:rPr>
              <w:t>162</w:t>
            </w:r>
          </w:p>
          <w:p w:rsidR="00C33EE6" w:rsidRDefault="00586869">
            <w:pPr>
              <w:jc w:val="center"/>
            </w:pPr>
            <w:r>
              <w:t>100</w:t>
            </w:r>
          </w:p>
        </w:tc>
        <w:tc>
          <w:tcPr>
            <w:tcW w:w="1259" w:type="dxa"/>
            <w:tcBorders>
              <w:top w:val="single" w:sz="6" w:space="0" w:color="auto"/>
              <w:left w:val="single" w:sz="6" w:space="0" w:color="auto"/>
              <w:bottom w:val="single" w:sz="6" w:space="0" w:color="auto"/>
              <w:right w:val="single" w:sz="6" w:space="0" w:color="auto"/>
            </w:tcBorders>
          </w:tcPr>
          <w:p w:rsidR="00C33EE6" w:rsidRDefault="00586869">
            <w:pPr>
              <w:jc w:val="center"/>
            </w:pPr>
            <w:r>
              <w:rPr>
                <w:u w:val="single"/>
              </w:rPr>
              <w:t>36</w:t>
            </w:r>
          </w:p>
          <w:p w:rsidR="00C33EE6" w:rsidRDefault="00586869">
            <w:pPr>
              <w:jc w:val="center"/>
            </w:pPr>
            <w:r>
              <w:t>34</w:t>
            </w:r>
          </w:p>
        </w:tc>
        <w:tc>
          <w:tcPr>
            <w:tcW w:w="1259" w:type="dxa"/>
            <w:tcBorders>
              <w:top w:val="single" w:sz="6" w:space="0" w:color="auto"/>
              <w:left w:val="single" w:sz="6" w:space="0" w:color="auto"/>
              <w:bottom w:val="single" w:sz="6" w:space="0" w:color="auto"/>
              <w:right w:val="single" w:sz="6" w:space="0" w:color="auto"/>
            </w:tcBorders>
          </w:tcPr>
          <w:p w:rsidR="00C33EE6" w:rsidRDefault="00586869">
            <w:pPr>
              <w:jc w:val="center"/>
            </w:pPr>
            <w:r>
              <w:rPr>
                <w:u w:val="single"/>
              </w:rPr>
              <w:t>22</w:t>
            </w:r>
          </w:p>
          <w:p w:rsidR="00C33EE6" w:rsidRDefault="00586869">
            <w:pPr>
              <w:jc w:val="center"/>
            </w:pPr>
            <w:r>
              <w:t>21</w:t>
            </w:r>
          </w:p>
        </w:tc>
      </w:tr>
      <w:tr w:rsidR="00C33EE6" w:rsidTr="00A8592F">
        <w:trPr>
          <w:jc w:val="center"/>
        </w:trPr>
        <w:tc>
          <w:tcPr>
            <w:tcW w:w="1259" w:type="dxa"/>
            <w:tcBorders>
              <w:top w:val="single" w:sz="6" w:space="0" w:color="auto"/>
              <w:left w:val="single" w:sz="6" w:space="0" w:color="auto"/>
              <w:right w:val="single" w:sz="6" w:space="0" w:color="auto"/>
            </w:tcBorders>
          </w:tcPr>
          <w:p w:rsidR="00C33EE6" w:rsidRDefault="00C33EE6">
            <w:pPr>
              <w:jc w:val="center"/>
            </w:pPr>
          </w:p>
        </w:tc>
        <w:tc>
          <w:tcPr>
            <w:tcW w:w="1259" w:type="dxa"/>
            <w:tcBorders>
              <w:top w:val="single" w:sz="6" w:space="0" w:color="auto"/>
              <w:left w:val="single" w:sz="6" w:space="0" w:color="auto"/>
              <w:bottom w:val="single" w:sz="6" w:space="0" w:color="auto"/>
              <w:right w:val="single" w:sz="6" w:space="0" w:color="auto"/>
            </w:tcBorders>
          </w:tcPr>
          <w:p w:rsidR="00C33EE6" w:rsidRDefault="00586869">
            <w:pPr>
              <w:jc w:val="center"/>
              <w:rPr>
                <w:lang w:val="en-US"/>
              </w:rPr>
            </w:pPr>
            <w:r>
              <w:rPr>
                <w:lang w:val="en-US"/>
              </w:rPr>
              <w:t>&lt;</w:t>
            </w:r>
            <w:r>
              <w:t xml:space="preserve"> 1 %</w:t>
            </w:r>
          </w:p>
        </w:tc>
        <w:tc>
          <w:tcPr>
            <w:tcW w:w="1259" w:type="dxa"/>
            <w:tcBorders>
              <w:top w:val="single" w:sz="6" w:space="0" w:color="auto"/>
              <w:left w:val="single" w:sz="6" w:space="0" w:color="auto"/>
              <w:bottom w:val="single" w:sz="6" w:space="0" w:color="auto"/>
              <w:right w:val="single" w:sz="6" w:space="0" w:color="auto"/>
            </w:tcBorders>
          </w:tcPr>
          <w:p w:rsidR="00C33EE6" w:rsidRDefault="00586869">
            <w:pPr>
              <w:jc w:val="center"/>
            </w:pPr>
            <w:r>
              <w:t>141</w:t>
            </w:r>
          </w:p>
        </w:tc>
        <w:tc>
          <w:tcPr>
            <w:tcW w:w="1259" w:type="dxa"/>
            <w:tcBorders>
              <w:top w:val="single" w:sz="6" w:space="0" w:color="auto"/>
              <w:left w:val="single" w:sz="6" w:space="0" w:color="auto"/>
              <w:bottom w:val="single" w:sz="6" w:space="0" w:color="auto"/>
              <w:right w:val="single" w:sz="6" w:space="0" w:color="auto"/>
            </w:tcBorders>
          </w:tcPr>
          <w:p w:rsidR="00C33EE6" w:rsidRDefault="00586869">
            <w:pPr>
              <w:jc w:val="center"/>
            </w:pPr>
            <w:r>
              <w:t>36</w:t>
            </w:r>
          </w:p>
        </w:tc>
        <w:tc>
          <w:tcPr>
            <w:tcW w:w="1259" w:type="dxa"/>
            <w:tcBorders>
              <w:top w:val="single" w:sz="6" w:space="0" w:color="auto"/>
              <w:left w:val="single" w:sz="6" w:space="0" w:color="auto"/>
              <w:bottom w:val="single" w:sz="6" w:space="0" w:color="auto"/>
              <w:right w:val="single" w:sz="6" w:space="0" w:color="auto"/>
            </w:tcBorders>
          </w:tcPr>
          <w:p w:rsidR="00C33EE6" w:rsidRDefault="00586869">
            <w:pPr>
              <w:jc w:val="center"/>
            </w:pPr>
            <w:r>
              <w:t>22</w:t>
            </w:r>
          </w:p>
        </w:tc>
      </w:tr>
      <w:tr w:rsidR="00C33EE6" w:rsidTr="00A8592F">
        <w:trPr>
          <w:jc w:val="center"/>
        </w:trPr>
        <w:tc>
          <w:tcPr>
            <w:tcW w:w="1259" w:type="dxa"/>
            <w:tcBorders>
              <w:left w:val="single" w:sz="6" w:space="0" w:color="auto"/>
              <w:right w:val="single" w:sz="6" w:space="0" w:color="auto"/>
            </w:tcBorders>
          </w:tcPr>
          <w:p w:rsidR="00C33EE6" w:rsidRDefault="00586869">
            <w:pPr>
              <w:jc w:val="center"/>
            </w:pPr>
            <w:r>
              <w:t>3000</w:t>
            </w:r>
          </w:p>
        </w:tc>
        <w:tc>
          <w:tcPr>
            <w:tcW w:w="1259" w:type="dxa"/>
            <w:tcBorders>
              <w:top w:val="single" w:sz="6" w:space="0" w:color="auto"/>
              <w:left w:val="single" w:sz="6" w:space="0" w:color="auto"/>
              <w:bottom w:val="single" w:sz="6" w:space="0" w:color="auto"/>
              <w:right w:val="single" w:sz="6" w:space="0" w:color="auto"/>
            </w:tcBorders>
          </w:tcPr>
          <w:p w:rsidR="00C33EE6" w:rsidRDefault="00586869">
            <w:pPr>
              <w:jc w:val="center"/>
              <w:rPr>
                <w:lang w:val="en-US"/>
              </w:rPr>
            </w:pPr>
            <w:r>
              <w:t>1 - 3 %</w:t>
            </w:r>
          </w:p>
        </w:tc>
        <w:tc>
          <w:tcPr>
            <w:tcW w:w="1259" w:type="dxa"/>
            <w:tcBorders>
              <w:top w:val="single" w:sz="6" w:space="0" w:color="auto"/>
              <w:left w:val="single" w:sz="6" w:space="0" w:color="auto"/>
              <w:bottom w:val="single" w:sz="6" w:space="0" w:color="auto"/>
              <w:right w:val="single" w:sz="6" w:space="0" w:color="auto"/>
            </w:tcBorders>
          </w:tcPr>
          <w:p w:rsidR="00C33EE6" w:rsidRDefault="00586869">
            <w:pPr>
              <w:jc w:val="center"/>
            </w:pPr>
            <w:r>
              <w:rPr>
                <w:u w:val="single"/>
              </w:rPr>
              <w:t>163</w:t>
            </w:r>
          </w:p>
          <w:p w:rsidR="00C33EE6" w:rsidRDefault="00586869">
            <w:pPr>
              <w:jc w:val="center"/>
            </w:pPr>
            <w:r>
              <w:t>131</w:t>
            </w:r>
          </w:p>
        </w:tc>
        <w:tc>
          <w:tcPr>
            <w:tcW w:w="1259" w:type="dxa"/>
            <w:tcBorders>
              <w:top w:val="single" w:sz="6" w:space="0" w:color="auto"/>
              <w:left w:val="single" w:sz="6" w:space="0" w:color="auto"/>
              <w:bottom w:val="single" w:sz="6" w:space="0" w:color="auto"/>
              <w:right w:val="single" w:sz="6" w:space="0" w:color="auto"/>
            </w:tcBorders>
          </w:tcPr>
          <w:p w:rsidR="00C33EE6" w:rsidRDefault="00586869">
            <w:pPr>
              <w:jc w:val="center"/>
            </w:pPr>
            <w:r>
              <w:rPr>
                <w:u w:val="single"/>
              </w:rPr>
              <w:t>36</w:t>
            </w:r>
          </w:p>
          <w:p w:rsidR="00C33EE6" w:rsidRDefault="00586869">
            <w:pPr>
              <w:jc w:val="center"/>
            </w:pPr>
            <w:r>
              <w:t>36</w:t>
            </w:r>
          </w:p>
        </w:tc>
        <w:tc>
          <w:tcPr>
            <w:tcW w:w="1259" w:type="dxa"/>
            <w:tcBorders>
              <w:top w:val="single" w:sz="6" w:space="0" w:color="auto"/>
              <w:left w:val="single" w:sz="6" w:space="0" w:color="auto"/>
              <w:bottom w:val="single" w:sz="6" w:space="0" w:color="auto"/>
              <w:right w:val="single" w:sz="6" w:space="0" w:color="auto"/>
            </w:tcBorders>
          </w:tcPr>
          <w:p w:rsidR="00C33EE6" w:rsidRDefault="00586869">
            <w:pPr>
              <w:jc w:val="center"/>
            </w:pPr>
            <w:r>
              <w:rPr>
                <w:u w:val="single"/>
              </w:rPr>
              <w:t>22</w:t>
            </w:r>
          </w:p>
          <w:p w:rsidR="00C33EE6" w:rsidRDefault="00586869">
            <w:pPr>
              <w:jc w:val="center"/>
            </w:pPr>
            <w:r>
              <w:t>22</w:t>
            </w:r>
          </w:p>
        </w:tc>
      </w:tr>
      <w:tr w:rsidR="00C33EE6" w:rsidTr="00A8592F">
        <w:trPr>
          <w:jc w:val="center"/>
        </w:trPr>
        <w:tc>
          <w:tcPr>
            <w:tcW w:w="1259" w:type="dxa"/>
            <w:tcBorders>
              <w:left w:val="single" w:sz="6" w:space="0" w:color="auto"/>
              <w:bottom w:val="single" w:sz="6" w:space="0" w:color="auto"/>
              <w:right w:val="single" w:sz="6" w:space="0" w:color="auto"/>
            </w:tcBorders>
          </w:tcPr>
          <w:p w:rsidR="00C33EE6" w:rsidRDefault="00C33EE6">
            <w:pPr>
              <w:jc w:val="center"/>
            </w:pPr>
          </w:p>
        </w:tc>
        <w:tc>
          <w:tcPr>
            <w:tcW w:w="1259" w:type="dxa"/>
            <w:tcBorders>
              <w:top w:val="single" w:sz="6" w:space="0" w:color="auto"/>
              <w:left w:val="single" w:sz="6" w:space="0" w:color="auto"/>
              <w:bottom w:val="single" w:sz="6" w:space="0" w:color="auto"/>
              <w:right w:val="single" w:sz="6" w:space="0" w:color="auto"/>
            </w:tcBorders>
          </w:tcPr>
          <w:p w:rsidR="00C33EE6" w:rsidRDefault="00586869">
            <w:pPr>
              <w:jc w:val="center"/>
            </w:pPr>
            <w:r>
              <w:t>&gt; 3 %</w:t>
            </w:r>
          </w:p>
        </w:tc>
        <w:tc>
          <w:tcPr>
            <w:tcW w:w="1259" w:type="dxa"/>
            <w:tcBorders>
              <w:top w:val="single" w:sz="6" w:space="0" w:color="auto"/>
              <w:left w:val="single" w:sz="6" w:space="0" w:color="auto"/>
              <w:bottom w:val="single" w:sz="6" w:space="0" w:color="auto"/>
              <w:right w:val="single" w:sz="6" w:space="0" w:color="auto"/>
            </w:tcBorders>
          </w:tcPr>
          <w:p w:rsidR="00C33EE6" w:rsidRDefault="00586869">
            <w:pPr>
              <w:jc w:val="center"/>
            </w:pPr>
            <w:r>
              <w:rPr>
                <w:u w:val="single"/>
              </w:rPr>
              <w:t>170</w:t>
            </w:r>
          </w:p>
          <w:p w:rsidR="00C33EE6" w:rsidRDefault="00586869">
            <w:pPr>
              <w:jc w:val="center"/>
            </w:pPr>
            <w:r>
              <w:t>116</w:t>
            </w:r>
          </w:p>
        </w:tc>
        <w:tc>
          <w:tcPr>
            <w:tcW w:w="1259" w:type="dxa"/>
            <w:tcBorders>
              <w:top w:val="single" w:sz="6" w:space="0" w:color="auto"/>
              <w:left w:val="single" w:sz="6" w:space="0" w:color="auto"/>
              <w:bottom w:val="single" w:sz="6" w:space="0" w:color="auto"/>
              <w:right w:val="single" w:sz="6" w:space="0" w:color="auto"/>
            </w:tcBorders>
          </w:tcPr>
          <w:p w:rsidR="00C33EE6" w:rsidRDefault="00586869">
            <w:pPr>
              <w:jc w:val="center"/>
            </w:pPr>
            <w:r>
              <w:rPr>
                <w:u w:val="single"/>
              </w:rPr>
              <w:t>36</w:t>
            </w:r>
          </w:p>
          <w:p w:rsidR="00C33EE6" w:rsidRDefault="00586869">
            <w:pPr>
              <w:jc w:val="center"/>
            </w:pPr>
            <w:r>
              <w:t>35</w:t>
            </w:r>
          </w:p>
        </w:tc>
        <w:tc>
          <w:tcPr>
            <w:tcW w:w="1259" w:type="dxa"/>
            <w:tcBorders>
              <w:top w:val="single" w:sz="6" w:space="0" w:color="auto"/>
              <w:left w:val="single" w:sz="6" w:space="0" w:color="auto"/>
              <w:bottom w:val="single" w:sz="6" w:space="0" w:color="auto"/>
              <w:right w:val="single" w:sz="6" w:space="0" w:color="auto"/>
            </w:tcBorders>
          </w:tcPr>
          <w:p w:rsidR="00C33EE6" w:rsidRDefault="00586869">
            <w:pPr>
              <w:jc w:val="center"/>
            </w:pPr>
            <w:r>
              <w:rPr>
                <w:u w:val="single"/>
              </w:rPr>
              <w:t>22</w:t>
            </w:r>
          </w:p>
          <w:p w:rsidR="00C33EE6" w:rsidRDefault="00586869">
            <w:pPr>
              <w:jc w:val="center"/>
            </w:pPr>
            <w:r>
              <w:t>22</w:t>
            </w:r>
          </w:p>
        </w:tc>
      </w:tr>
      <w:tr w:rsidR="00C33EE6" w:rsidTr="00A8592F">
        <w:trPr>
          <w:jc w:val="center"/>
        </w:trPr>
        <w:tc>
          <w:tcPr>
            <w:tcW w:w="1259" w:type="dxa"/>
            <w:tcBorders>
              <w:top w:val="single" w:sz="6" w:space="0" w:color="auto"/>
              <w:left w:val="single" w:sz="6" w:space="0" w:color="auto"/>
              <w:right w:val="single" w:sz="6" w:space="0" w:color="auto"/>
            </w:tcBorders>
          </w:tcPr>
          <w:p w:rsidR="00C33EE6" w:rsidRDefault="00C33EE6">
            <w:pPr>
              <w:jc w:val="center"/>
            </w:pPr>
          </w:p>
        </w:tc>
        <w:tc>
          <w:tcPr>
            <w:tcW w:w="1259" w:type="dxa"/>
            <w:tcBorders>
              <w:top w:val="single" w:sz="6" w:space="0" w:color="auto"/>
              <w:left w:val="single" w:sz="6" w:space="0" w:color="auto"/>
              <w:bottom w:val="single" w:sz="6" w:space="0" w:color="auto"/>
              <w:right w:val="single" w:sz="6" w:space="0" w:color="auto"/>
            </w:tcBorders>
          </w:tcPr>
          <w:p w:rsidR="00C33EE6" w:rsidRDefault="00586869">
            <w:pPr>
              <w:jc w:val="center"/>
            </w:pPr>
            <w:r>
              <w:t>&lt; 1 %</w:t>
            </w:r>
          </w:p>
        </w:tc>
        <w:tc>
          <w:tcPr>
            <w:tcW w:w="1259" w:type="dxa"/>
            <w:tcBorders>
              <w:top w:val="single" w:sz="6" w:space="0" w:color="auto"/>
              <w:left w:val="single" w:sz="6" w:space="0" w:color="auto"/>
              <w:bottom w:val="single" w:sz="6" w:space="0" w:color="auto"/>
              <w:right w:val="single" w:sz="6" w:space="0" w:color="auto"/>
            </w:tcBorders>
          </w:tcPr>
          <w:p w:rsidR="00C33EE6" w:rsidRDefault="00586869">
            <w:pPr>
              <w:jc w:val="center"/>
            </w:pPr>
            <w:r>
              <w:t>162</w:t>
            </w:r>
          </w:p>
        </w:tc>
        <w:tc>
          <w:tcPr>
            <w:tcW w:w="1259" w:type="dxa"/>
            <w:tcBorders>
              <w:top w:val="single" w:sz="6" w:space="0" w:color="auto"/>
              <w:left w:val="single" w:sz="6" w:space="0" w:color="auto"/>
              <w:bottom w:val="single" w:sz="6" w:space="0" w:color="auto"/>
              <w:right w:val="single" w:sz="6" w:space="0" w:color="auto"/>
            </w:tcBorders>
          </w:tcPr>
          <w:p w:rsidR="00C33EE6" w:rsidRDefault="00586869">
            <w:pPr>
              <w:jc w:val="center"/>
            </w:pPr>
            <w:r>
              <w:t>36</w:t>
            </w:r>
          </w:p>
        </w:tc>
        <w:tc>
          <w:tcPr>
            <w:tcW w:w="1259" w:type="dxa"/>
            <w:tcBorders>
              <w:top w:val="single" w:sz="6" w:space="0" w:color="auto"/>
              <w:left w:val="single" w:sz="6" w:space="0" w:color="auto"/>
              <w:bottom w:val="single" w:sz="6" w:space="0" w:color="auto"/>
              <w:right w:val="single" w:sz="6" w:space="0" w:color="auto"/>
            </w:tcBorders>
          </w:tcPr>
          <w:p w:rsidR="00C33EE6" w:rsidRDefault="00586869">
            <w:pPr>
              <w:jc w:val="center"/>
            </w:pPr>
            <w:r>
              <w:t>22</w:t>
            </w:r>
          </w:p>
        </w:tc>
      </w:tr>
      <w:tr w:rsidR="00C33EE6" w:rsidTr="00A8592F">
        <w:trPr>
          <w:jc w:val="center"/>
        </w:trPr>
        <w:tc>
          <w:tcPr>
            <w:tcW w:w="1259" w:type="dxa"/>
            <w:tcBorders>
              <w:left w:val="single" w:sz="6" w:space="0" w:color="auto"/>
              <w:right w:val="single" w:sz="6" w:space="0" w:color="auto"/>
            </w:tcBorders>
          </w:tcPr>
          <w:p w:rsidR="00C33EE6" w:rsidRDefault="00586869">
            <w:pPr>
              <w:jc w:val="center"/>
            </w:pPr>
            <w:r>
              <w:t>5000</w:t>
            </w:r>
          </w:p>
        </w:tc>
        <w:tc>
          <w:tcPr>
            <w:tcW w:w="1259" w:type="dxa"/>
            <w:tcBorders>
              <w:top w:val="single" w:sz="6" w:space="0" w:color="auto"/>
              <w:left w:val="single" w:sz="6" w:space="0" w:color="auto"/>
              <w:bottom w:val="single" w:sz="6" w:space="0" w:color="auto"/>
              <w:right w:val="single" w:sz="6" w:space="0" w:color="auto"/>
            </w:tcBorders>
          </w:tcPr>
          <w:p w:rsidR="00C33EE6" w:rsidRDefault="00586869">
            <w:pPr>
              <w:jc w:val="center"/>
            </w:pPr>
            <w:r>
              <w:t>1-3 %</w:t>
            </w:r>
          </w:p>
        </w:tc>
        <w:tc>
          <w:tcPr>
            <w:tcW w:w="1259" w:type="dxa"/>
            <w:tcBorders>
              <w:top w:val="single" w:sz="6" w:space="0" w:color="auto"/>
              <w:left w:val="single" w:sz="6" w:space="0" w:color="auto"/>
              <w:bottom w:val="single" w:sz="6" w:space="0" w:color="auto"/>
              <w:right w:val="single" w:sz="6" w:space="0" w:color="auto"/>
            </w:tcBorders>
          </w:tcPr>
          <w:p w:rsidR="00C33EE6" w:rsidRDefault="00586869">
            <w:pPr>
              <w:jc w:val="center"/>
            </w:pPr>
            <w:r>
              <w:rPr>
                <w:u w:val="single"/>
              </w:rPr>
              <w:t>171</w:t>
            </w:r>
          </w:p>
          <w:p w:rsidR="00C33EE6" w:rsidRDefault="00586869">
            <w:pPr>
              <w:jc w:val="center"/>
            </w:pPr>
            <w:r>
              <w:t>142</w:t>
            </w:r>
          </w:p>
        </w:tc>
        <w:tc>
          <w:tcPr>
            <w:tcW w:w="1259" w:type="dxa"/>
            <w:tcBorders>
              <w:top w:val="single" w:sz="6" w:space="0" w:color="auto"/>
              <w:left w:val="single" w:sz="6" w:space="0" w:color="auto"/>
              <w:bottom w:val="single" w:sz="6" w:space="0" w:color="auto"/>
              <w:right w:val="single" w:sz="6" w:space="0" w:color="auto"/>
            </w:tcBorders>
          </w:tcPr>
          <w:p w:rsidR="00C33EE6" w:rsidRDefault="00586869">
            <w:pPr>
              <w:jc w:val="center"/>
            </w:pPr>
            <w:r>
              <w:rPr>
                <w:u w:val="single"/>
              </w:rPr>
              <w:t>36</w:t>
            </w:r>
          </w:p>
          <w:p w:rsidR="00C33EE6" w:rsidRDefault="00586869">
            <w:pPr>
              <w:jc w:val="center"/>
            </w:pPr>
            <w:r>
              <w:t>36</w:t>
            </w:r>
          </w:p>
        </w:tc>
        <w:tc>
          <w:tcPr>
            <w:tcW w:w="1259" w:type="dxa"/>
            <w:tcBorders>
              <w:top w:val="single" w:sz="6" w:space="0" w:color="auto"/>
              <w:left w:val="single" w:sz="6" w:space="0" w:color="auto"/>
              <w:bottom w:val="single" w:sz="6" w:space="0" w:color="auto"/>
              <w:right w:val="single" w:sz="6" w:space="0" w:color="auto"/>
            </w:tcBorders>
          </w:tcPr>
          <w:p w:rsidR="00C33EE6" w:rsidRDefault="00586869">
            <w:pPr>
              <w:jc w:val="center"/>
            </w:pPr>
            <w:r>
              <w:rPr>
                <w:u w:val="single"/>
              </w:rPr>
              <w:t>22</w:t>
            </w:r>
          </w:p>
          <w:p w:rsidR="00C33EE6" w:rsidRDefault="00586869">
            <w:pPr>
              <w:jc w:val="center"/>
            </w:pPr>
            <w:r>
              <w:t>22</w:t>
            </w:r>
          </w:p>
        </w:tc>
      </w:tr>
      <w:tr w:rsidR="00C33EE6" w:rsidTr="00A8592F">
        <w:trPr>
          <w:jc w:val="center"/>
        </w:trPr>
        <w:tc>
          <w:tcPr>
            <w:tcW w:w="1259" w:type="dxa"/>
            <w:tcBorders>
              <w:left w:val="single" w:sz="6" w:space="0" w:color="auto"/>
              <w:bottom w:val="single" w:sz="6" w:space="0" w:color="auto"/>
              <w:right w:val="single" w:sz="6" w:space="0" w:color="auto"/>
            </w:tcBorders>
          </w:tcPr>
          <w:p w:rsidR="00C33EE6" w:rsidRDefault="00C33EE6">
            <w:pPr>
              <w:jc w:val="center"/>
            </w:pPr>
          </w:p>
        </w:tc>
        <w:tc>
          <w:tcPr>
            <w:tcW w:w="1259" w:type="dxa"/>
            <w:tcBorders>
              <w:top w:val="single" w:sz="6" w:space="0" w:color="auto"/>
              <w:left w:val="single" w:sz="6" w:space="0" w:color="auto"/>
              <w:bottom w:val="single" w:sz="6" w:space="0" w:color="auto"/>
              <w:right w:val="single" w:sz="6" w:space="0" w:color="auto"/>
            </w:tcBorders>
          </w:tcPr>
          <w:p w:rsidR="00C33EE6" w:rsidRDefault="00586869">
            <w:pPr>
              <w:jc w:val="center"/>
            </w:pPr>
            <w:r>
              <w:t>&gt; 3 %</w:t>
            </w:r>
          </w:p>
        </w:tc>
        <w:tc>
          <w:tcPr>
            <w:tcW w:w="1259" w:type="dxa"/>
            <w:tcBorders>
              <w:top w:val="single" w:sz="6" w:space="0" w:color="auto"/>
              <w:left w:val="single" w:sz="6" w:space="0" w:color="auto"/>
              <w:bottom w:val="single" w:sz="6" w:space="0" w:color="auto"/>
              <w:right w:val="single" w:sz="6" w:space="0" w:color="auto"/>
            </w:tcBorders>
          </w:tcPr>
          <w:p w:rsidR="00C33EE6" w:rsidRDefault="00586869">
            <w:pPr>
              <w:jc w:val="center"/>
            </w:pPr>
            <w:r>
              <w:rPr>
                <w:u w:val="single"/>
              </w:rPr>
              <w:t>177</w:t>
            </w:r>
          </w:p>
          <w:p w:rsidR="00C33EE6" w:rsidRDefault="00586869">
            <w:pPr>
              <w:jc w:val="center"/>
            </w:pPr>
            <w:r>
              <w:t>137</w:t>
            </w:r>
          </w:p>
        </w:tc>
        <w:tc>
          <w:tcPr>
            <w:tcW w:w="1259" w:type="dxa"/>
            <w:tcBorders>
              <w:top w:val="single" w:sz="6" w:space="0" w:color="auto"/>
              <w:left w:val="single" w:sz="6" w:space="0" w:color="auto"/>
              <w:bottom w:val="single" w:sz="6" w:space="0" w:color="auto"/>
              <w:right w:val="single" w:sz="6" w:space="0" w:color="auto"/>
            </w:tcBorders>
          </w:tcPr>
          <w:p w:rsidR="00C33EE6" w:rsidRDefault="00586869">
            <w:pPr>
              <w:jc w:val="center"/>
            </w:pPr>
            <w:r>
              <w:rPr>
                <w:u w:val="single"/>
              </w:rPr>
              <w:t>36</w:t>
            </w:r>
          </w:p>
          <w:p w:rsidR="00C33EE6" w:rsidRDefault="00586869">
            <w:pPr>
              <w:jc w:val="center"/>
            </w:pPr>
            <w:r>
              <w:t>36</w:t>
            </w:r>
          </w:p>
        </w:tc>
        <w:tc>
          <w:tcPr>
            <w:tcW w:w="1259" w:type="dxa"/>
            <w:tcBorders>
              <w:top w:val="single" w:sz="6" w:space="0" w:color="auto"/>
              <w:left w:val="single" w:sz="6" w:space="0" w:color="auto"/>
              <w:bottom w:val="single" w:sz="6" w:space="0" w:color="auto"/>
              <w:right w:val="single" w:sz="6" w:space="0" w:color="auto"/>
            </w:tcBorders>
          </w:tcPr>
          <w:p w:rsidR="00C33EE6" w:rsidRDefault="00586869">
            <w:pPr>
              <w:jc w:val="center"/>
            </w:pPr>
            <w:r>
              <w:rPr>
                <w:u w:val="single"/>
              </w:rPr>
              <w:t>22</w:t>
            </w:r>
          </w:p>
          <w:p w:rsidR="00C33EE6" w:rsidRDefault="00586869">
            <w:pPr>
              <w:jc w:val="center"/>
            </w:pPr>
            <w:r>
              <w:t>22</w:t>
            </w:r>
          </w:p>
        </w:tc>
      </w:tr>
      <w:tr w:rsidR="00C33EE6" w:rsidTr="00A8592F">
        <w:trPr>
          <w:jc w:val="center"/>
        </w:trPr>
        <w:tc>
          <w:tcPr>
            <w:tcW w:w="1259" w:type="dxa"/>
            <w:tcBorders>
              <w:top w:val="single" w:sz="6" w:space="0" w:color="auto"/>
              <w:left w:val="single" w:sz="6" w:space="0" w:color="auto"/>
              <w:right w:val="single" w:sz="6" w:space="0" w:color="auto"/>
            </w:tcBorders>
          </w:tcPr>
          <w:p w:rsidR="00C33EE6" w:rsidRDefault="00C33EE6">
            <w:pPr>
              <w:jc w:val="center"/>
            </w:pPr>
          </w:p>
        </w:tc>
        <w:tc>
          <w:tcPr>
            <w:tcW w:w="1259" w:type="dxa"/>
            <w:tcBorders>
              <w:top w:val="single" w:sz="6" w:space="0" w:color="auto"/>
              <w:left w:val="single" w:sz="6" w:space="0" w:color="auto"/>
              <w:bottom w:val="single" w:sz="6" w:space="0" w:color="auto"/>
              <w:right w:val="single" w:sz="6" w:space="0" w:color="auto"/>
            </w:tcBorders>
          </w:tcPr>
          <w:p w:rsidR="00C33EE6" w:rsidRDefault="00586869">
            <w:pPr>
              <w:jc w:val="center"/>
            </w:pPr>
            <w:r>
              <w:t>&lt; 1 %</w:t>
            </w:r>
          </w:p>
        </w:tc>
        <w:tc>
          <w:tcPr>
            <w:tcW w:w="1259" w:type="dxa"/>
            <w:tcBorders>
              <w:top w:val="single" w:sz="6" w:space="0" w:color="auto"/>
              <w:left w:val="single" w:sz="6" w:space="0" w:color="auto"/>
              <w:bottom w:val="single" w:sz="6" w:space="0" w:color="auto"/>
              <w:right w:val="single" w:sz="6" w:space="0" w:color="auto"/>
            </w:tcBorders>
          </w:tcPr>
          <w:p w:rsidR="00C33EE6" w:rsidRDefault="00586869">
            <w:pPr>
              <w:jc w:val="center"/>
            </w:pPr>
            <w:r>
              <w:t>169</w:t>
            </w:r>
          </w:p>
        </w:tc>
        <w:tc>
          <w:tcPr>
            <w:tcW w:w="1259" w:type="dxa"/>
            <w:tcBorders>
              <w:top w:val="single" w:sz="6" w:space="0" w:color="auto"/>
              <w:left w:val="single" w:sz="6" w:space="0" w:color="auto"/>
              <w:bottom w:val="single" w:sz="6" w:space="0" w:color="auto"/>
              <w:right w:val="single" w:sz="6" w:space="0" w:color="auto"/>
            </w:tcBorders>
          </w:tcPr>
          <w:p w:rsidR="00C33EE6" w:rsidRDefault="00586869">
            <w:pPr>
              <w:jc w:val="center"/>
            </w:pPr>
            <w:r>
              <w:t>36</w:t>
            </w:r>
          </w:p>
        </w:tc>
        <w:tc>
          <w:tcPr>
            <w:tcW w:w="1259" w:type="dxa"/>
            <w:tcBorders>
              <w:top w:val="single" w:sz="6" w:space="0" w:color="auto"/>
              <w:left w:val="single" w:sz="6" w:space="0" w:color="auto"/>
              <w:bottom w:val="single" w:sz="6" w:space="0" w:color="auto"/>
              <w:right w:val="single" w:sz="6" w:space="0" w:color="auto"/>
            </w:tcBorders>
          </w:tcPr>
          <w:p w:rsidR="00C33EE6" w:rsidRDefault="00586869">
            <w:pPr>
              <w:jc w:val="center"/>
            </w:pPr>
            <w:r>
              <w:t>22</w:t>
            </w:r>
          </w:p>
        </w:tc>
      </w:tr>
      <w:tr w:rsidR="00C33EE6" w:rsidTr="00A8592F">
        <w:trPr>
          <w:jc w:val="center"/>
        </w:trPr>
        <w:tc>
          <w:tcPr>
            <w:tcW w:w="1259" w:type="dxa"/>
            <w:tcBorders>
              <w:left w:val="single" w:sz="6" w:space="0" w:color="auto"/>
              <w:right w:val="single" w:sz="6" w:space="0" w:color="auto"/>
            </w:tcBorders>
          </w:tcPr>
          <w:p w:rsidR="00C33EE6" w:rsidRDefault="00586869">
            <w:pPr>
              <w:jc w:val="center"/>
            </w:pPr>
            <w:r>
              <w:t>10000</w:t>
            </w:r>
          </w:p>
        </w:tc>
        <w:tc>
          <w:tcPr>
            <w:tcW w:w="1259" w:type="dxa"/>
            <w:tcBorders>
              <w:top w:val="single" w:sz="6" w:space="0" w:color="auto"/>
              <w:left w:val="single" w:sz="6" w:space="0" w:color="auto"/>
              <w:bottom w:val="single" w:sz="6" w:space="0" w:color="auto"/>
              <w:right w:val="single" w:sz="6" w:space="0" w:color="auto"/>
            </w:tcBorders>
          </w:tcPr>
          <w:p w:rsidR="00C33EE6" w:rsidRDefault="00586869">
            <w:pPr>
              <w:jc w:val="center"/>
            </w:pPr>
            <w:r>
              <w:t>1-3 %</w:t>
            </w:r>
          </w:p>
        </w:tc>
        <w:tc>
          <w:tcPr>
            <w:tcW w:w="1259" w:type="dxa"/>
            <w:tcBorders>
              <w:top w:val="single" w:sz="6" w:space="0" w:color="auto"/>
              <w:left w:val="single" w:sz="6" w:space="0" w:color="auto"/>
              <w:bottom w:val="single" w:sz="6" w:space="0" w:color="auto"/>
              <w:right w:val="single" w:sz="6" w:space="0" w:color="auto"/>
            </w:tcBorders>
          </w:tcPr>
          <w:p w:rsidR="00C33EE6" w:rsidRDefault="00586869">
            <w:pPr>
              <w:jc w:val="center"/>
            </w:pPr>
            <w:r>
              <w:rPr>
                <w:u w:val="single"/>
              </w:rPr>
              <w:t>177</w:t>
            </w:r>
          </w:p>
          <w:p w:rsidR="00C33EE6" w:rsidRDefault="00586869">
            <w:pPr>
              <w:jc w:val="center"/>
            </w:pPr>
            <w:r>
              <w:t>156</w:t>
            </w:r>
          </w:p>
        </w:tc>
        <w:tc>
          <w:tcPr>
            <w:tcW w:w="1259" w:type="dxa"/>
            <w:tcBorders>
              <w:top w:val="single" w:sz="6" w:space="0" w:color="auto"/>
              <w:left w:val="single" w:sz="6" w:space="0" w:color="auto"/>
              <w:bottom w:val="single" w:sz="6" w:space="0" w:color="auto"/>
              <w:right w:val="single" w:sz="6" w:space="0" w:color="auto"/>
            </w:tcBorders>
          </w:tcPr>
          <w:p w:rsidR="00C33EE6" w:rsidRDefault="00586869">
            <w:pPr>
              <w:jc w:val="center"/>
            </w:pPr>
            <w:r>
              <w:rPr>
                <w:u w:val="single"/>
              </w:rPr>
              <w:t>36</w:t>
            </w:r>
          </w:p>
          <w:p w:rsidR="00C33EE6" w:rsidRDefault="00586869">
            <w:pPr>
              <w:jc w:val="center"/>
            </w:pPr>
            <w:r>
              <w:t>36</w:t>
            </w:r>
          </w:p>
        </w:tc>
        <w:tc>
          <w:tcPr>
            <w:tcW w:w="1259" w:type="dxa"/>
            <w:tcBorders>
              <w:top w:val="single" w:sz="6" w:space="0" w:color="auto"/>
              <w:left w:val="single" w:sz="6" w:space="0" w:color="auto"/>
              <w:bottom w:val="single" w:sz="6" w:space="0" w:color="auto"/>
              <w:right w:val="single" w:sz="6" w:space="0" w:color="auto"/>
            </w:tcBorders>
          </w:tcPr>
          <w:p w:rsidR="00C33EE6" w:rsidRDefault="00586869">
            <w:pPr>
              <w:jc w:val="center"/>
            </w:pPr>
            <w:r>
              <w:rPr>
                <w:u w:val="single"/>
              </w:rPr>
              <w:t>22</w:t>
            </w:r>
          </w:p>
          <w:p w:rsidR="00C33EE6" w:rsidRDefault="00586869">
            <w:pPr>
              <w:jc w:val="center"/>
            </w:pPr>
            <w:r>
              <w:t>22</w:t>
            </w:r>
          </w:p>
        </w:tc>
      </w:tr>
      <w:tr w:rsidR="00C33EE6" w:rsidTr="00A8592F">
        <w:trPr>
          <w:jc w:val="center"/>
        </w:trPr>
        <w:tc>
          <w:tcPr>
            <w:tcW w:w="1259" w:type="dxa"/>
            <w:tcBorders>
              <w:left w:val="single" w:sz="6" w:space="0" w:color="auto"/>
              <w:bottom w:val="single" w:sz="6" w:space="0" w:color="auto"/>
              <w:right w:val="single" w:sz="6" w:space="0" w:color="auto"/>
            </w:tcBorders>
          </w:tcPr>
          <w:p w:rsidR="00C33EE6" w:rsidRDefault="00C33EE6">
            <w:pPr>
              <w:jc w:val="center"/>
            </w:pPr>
          </w:p>
        </w:tc>
        <w:tc>
          <w:tcPr>
            <w:tcW w:w="1259" w:type="dxa"/>
            <w:tcBorders>
              <w:top w:val="single" w:sz="6" w:space="0" w:color="auto"/>
              <w:left w:val="single" w:sz="6" w:space="0" w:color="auto"/>
              <w:bottom w:val="single" w:sz="6" w:space="0" w:color="auto"/>
              <w:right w:val="single" w:sz="6" w:space="0" w:color="auto"/>
            </w:tcBorders>
          </w:tcPr>
          <w:p w:rsidR="00C33EE6" w:rsidRDefault="00586869">
            <w:pPr>
              <w:jc w:val="center"/>
            </w:pPr>
            <w:r>
              <w:t>&gt; 3 %</w:t>
            </w:r>
          </w:p>
        </w:tc>
        <w:tc>
          <w:tcPr>
            <w:tcW w:w="1259" w:type="dxa"/>
            <w:tcBorders>
              <w:top w:val="single" w:sz="6" w:space="0" w:color="auto"/>
              <w:left w:val="single" w:sz="6" w:space="0" w:color="auto"/>
              <w:bottom w:val="single" w:sz="6" w:space="0" w:color="auto"/>
              <w:right w:val="single" w:sz="6" w:space="0" w:color="auto"/>
            </w:tcBorders>
          </w:tcPr>
          <w:p w:rsidR="00C33EE6" w:rsidRDefault="00586869">
            <w:pPr>
              <w:jc w:val="center"/>
            </w:pPr>
            <w:r>
              <w:rPr>
                <w:u w:val="single"/>
              </w:rPr>
              <w:t>196</w:t>
            </w:r>
          </w:p>
          <w:p w:rsidR="00C33EE6" w:rsidRDefault="00586869">
            <w:pPr>
              <w:jc w:val="center"/>
            </w:pPr>
            <w:r>
              <w:t>143</w:t>
            </w:r>
          </w:p>
        </w:tc>
        <w:tc>
          <w:tcPr>
            <w:tcW w:w="1259" w:type="dxa"/>
            <w:tcBorders>
              <w:top w:val="single" w:sz="6" w:space="0" w:color="auto"/>
              <w:left w:val="single" w:sz="6" w:space="0" w:color="auto"/>
              <w:bottom w:val="single" w:sz="6" w:space="0" w:color="auto"/>
              <w:right w:val="single" w:sz="6" w:space="0" w:color="auto"/>
            </w:tcBorders>
          </w:tcPr>
          <w:p w:rsidR="00C33EE6" w:rsidRDefault="00586869">
            <w:pPr>
              <w:jc w:val="center"/>
            </w:pPr>
            <w:r>
              <w:rPr>
                <w:u w:val="single"/>
              </w:rPr>
              <w:t>36</w:t>
            </w:r>
          </w:p>
          <w:p w:rsidR="00C33EE6" w:rsidRDefault="00586869">
            <w:pPr>
              <w:jc w:val="center"/>
            </w:pPr>
            <w:r>
              <w:t>36</w:t>
            </w:r>
          </w:p>
        </w:tc>
        <w:tc>
          <w:tcPr>
            <w:tcW w:w="1259" w:type="dxa"/>
            <w:tcBorders>
              <w:top w:val="single" w:sz="6" w:space="0" w:color="auto"/>
              <w:left w:val="single" w:sz="6" w:space="0" w:color="auto"/>
              <w:bottom w:val="single" w:sz="6" w:space="0" w:color="auto"/>
              <w:right w:val="single" w:sz="6" w:space="0" w:color="auto"/>
            </w:tcBorders>
          </w:tcPr>
          <w:p w:rsidR="00C33EE6" w:rsidRDefault="00586869">
            <w:pPr>
              <w:jc w:val="center"/>
            </w:pPr>
            <w:r>
              <w:rPr>
                <w:u w:val="single"/>
              </w:rPr>
              <w:t>22</w:t>
            </w:r>
          </w:p>
          <w:p w:rsidR="00C33EE6" w:rsidRDefault="00586869">
            <w:pPr>
              <w:jc w:val="center"/>
            </w:pPr>
            <w:r>
              <w:t>22</w:t>
            </w:r>
          </w:p>
        </w:tc>
      </w:tr>
    </w:tbl>
    <w:p w:rsidR="00C33EE6" w:rsidRDefault="00586869">
      <w:pPr>
        <w:spacing w:before="120" w:after="120"/>
        <w:ind w:firstLine="284"/>
        <w:jc w:val="both"/>
      </w:pPr>
      <w:r>
        <w:t>* В числителе приведены данные по направлению малой оси эллипса, в знаменателе - по направлению большой оси эллипса.</w:t>
      </w:r>
    </w:p>
    <w:p w:rsidR="00C33EE6" w:rsidRDefault="00586869">
      <w:pPr>
        <w:ind w:firstLine="284"/>
        <w:jc w:val="both"/>
      </w:pPr>
      <w:r>
        <w:lastRenderedPageBreak/>
        <w:t xml:space="preserve">Высота факела пламени, </w:t>
      </w:r>
      <w:proofErr w:type="gramStart"/>
      <w:r>
        <w:t>м</w:t>
      </w:r>
      <w:proofErr w:type="gramEnd"/>
      <w:r>
        <w:t>:</w:t>
      </w:r>
    </w:p>
    <w:p w:rsidR="00C33EE6" w:rsidRDefault="00AE624D">
      <w:pPr>
        <w:spacing w:before="120" w:after="120"/>
        <w:jc w:val="center"/>
        <w:rPr>
          <w:lang w:val="en-US"/>
        </w:rPr>
      </w:pPr>
      <w:r>
        <w:rPr>
          <w:position w:val="-34"/>
          <w:lang w:val="en-US"/>
        </w:rPr>
        <w:pict>
          <v:shape id="_x0000_i1025" type="#_x0000_t75" style="width:93.5pt;height:41pt">
            <v:imagedata r:id="rId18" o:title=""/>
          </v:shape>
        </w:pict>
      </w:r>
      <w:r w:rsidR="00586869">
        <w:t>,</w:t>
      </w:r>
    </w:p>
    <w:p w:rsidR="00C33EE6" w:rsidRDefault="00586869">
      <w:pPr>
        <w:jc w:val="both"/>
      </w:pPr>
      <w:r>
        <w:t>где</w:t>
      </w:r>
      <w:r>
        <w:rPr>
          <w:lang w:val="en-US"/>
        </w:rPr>
        <w:t xml:space="preserve"> </w:t>
      </w:r>
      <w:r>
        <w:rPr>
          <w:i/>
          <w:lang w:val="en-US"/>
        </w:rPr>
        <w:sym w:font="Symbol" w:char="F072"/>
      </w:r>
      <w:r>
        <w:rPr>
          <w:i/>
          <w:vertAlign w:val="subscript"/>
        </w:rPr>
        <w:t>в</w:t>
      </w:r>
      <w:r>
        <w:t xml:space="preserve"> - плотность воздуха, </w:t>
      </w:r>
      <w:proofErr w:type="gramStart"/>
      <w:r>
        <w:t>кг</w:t>
      </w:r>
      <w:proofErr w:type="gramEnd"/>
      <w:r>
        <w:sym w:font="Symbol" w:char="F0D7"/>
      </w:r>
      <w:r>
        <w:t>м</w:t>
      </w:r>
      <w:r>
        <w:rPr>
          <w:vertAlign w:val="superscript"/>
        </w:rPr>
        <w:t>-3</w:t>
      </w:r>
      <w:r>
        <w:t xml:space="preserve"> (при отсутствии справочных данных допускается принимать </w:t>
      </w:r>
      <w:r>
        <w:rPr>
          <w:i/>
          <w:lang w:val="en-US"/>
        </w:rPr>
        <w:sym w:font="Symbol" w:char="F072"/>
      </w:r>
      <w:r>
        <w:rPr>
          <w:i/>
          <w:vertAlign w:val="subscript"/>
        </w:rPr>
        <w:t>в</w:t>
      </w:r>
      <w:r>
        <w:t xml:space="preserve"> = 1,2 кг</w:t>
      </w:r>
      <w:r>
        <w:sym w:font="Symbol" w:char="F0D7"/>
      </w:r>
      <w:r>
        <w:t>м</w:t>
      </w:r>
      <w:r>
        <w:rPr>
          <w:vertAlign w:val="superscript"/>
        </w:rPr>
        <w:t>-3</w:t>
      </w:r>
      <w:r>
        <w:t>);</w:t>
      </w:r>
      <w:r>
        <w:rPr>
          <w:lang w:val="en-US"/>
        </w:rPr>
        <w:t xml:space="preserve"> </w:t>
      </w:r>
      <w:r>
        <w:rPr>
          <w:i/>
          <w:lang w:val="en-US"/>
        </w:rPr>
        <w:t>g</w:t>
      </w:r>
      <w:r>
        <w:rPr>
          <w:i/>
        </w:rPr>
        <w:t xml:space="preserve"> - </w:t>
      </w:r>
      <w:r>
        <w:t>ускорение свободного падения.</w:t>
      </w:r>
    </w:p>
    <w:p w:rsidR="00C33EE6" w:rsidRDefault="00586869">
      <w:pPr>
        <w:ind w:firstLine="284"/>
        <w:jc w:val="both"/>
      </w:pPr>
      <w:r>
        <w:t>В дальнейших расчетах в качестве излучающей поверхности принимают факел пожара разлива нефтепродукта в виде плоскости.</w:t>
      </w:r>
    </w:p>
    <w:p w:rsidR="00C33EE6" w:rsidRDefault="00586869">
      <w:pPr>
        <w:ind w:firstLine="284"/>
        <w:jc w:val="both"/>
      </w:pPr>
      <w:r>
        <w:t>Коэффициент облученности допускается определять по формулам, приведенным в справочной литературе по теплообмену.</w:t>
      </w:r>
    </w:p>
    <w:p w:rsidR="00C33EE6" w:rsidRDefault="00586869">
      <w:pPr>
        <w:ind w:firstLine="284"/>
        <w:jc w:val="both"/>
      </w:pPr>
      <w:r>
        <w:t xml:space="preserve">Для проведения многовариантных расчетов по определению опасных зон теплового излучения целесообразно использовать программный продукт, который позволяет получить более реальные результаты для произвольно расположенной системы </w:t>
      </w:r>
      <w:r w:rsidR="00A8592F">
        <w:t>«</w:t>
      </w:r>
      <w:r>
        <w:t>пламя - объект</w:t>
      </w:r>
      <w:r w:rsidR="00A8592F">
        <w:t>»</w:t>
      </w:r>
      <w:r>
        <w:t>.</w:t>
      </w:r>
    </w:p>
    <w:p w:rsidR="00A8592F" w:rsidRDefault="00A8592F">
      <w:pPr>
        <w:overflowPunct/>
        <w:autoSpaceDE/>
        <w:autoSpaceDN/>
        <w:adjustRightInd/>
        <w:textAlignment w:val="auto"/>
        <w:rPr>
          <w:i/>
          <w:spacing w:val="40"/>
          <w:kern w:val="28"/>
        </w:rPr>
      </w:pPr>
      <w:r>
        <w:rPr>
          <w:b/>
          <w:i/>
          <w:spacing w:val="40"/>
        </w:rPr>
        <w:br w:type="page"/>
      </w:r>
    </w:p>
    <w:p w:rsidR="00C33EE6" w:rsidRDefault="00586869">
      <w:pPr>
        <w:pStyle w:val="1"/>
        <w:jc w:val="right"/>
        <w:rPr>
          <w:b w:val="0"/>
          <w:i/>
        </w:rPr>
      </w:pPr>
      <w:r>
        <w:rPr>
          <w:b w:val="0"/>
          <w:i/>
          <w:spacing w:val="40"/>
        </w:rPr>
        <w:lastRenderedPageBreak/>
        <w:t>Приложение</w:t>
      </w:r>
      <w:r>
        <w:rPr>
          <w:b w:val="0"/>
          <w:i/>
        </w:rPr>
        <w:t xml:space="preserve"> 3</w:t>
      </w:r>
    </w:p>
    <w:p w:rsidR="00C33EE6" w:rsidRDefault="00586869">
      <w:pPr>
        <w:pStyle w:val="1"/>
        <w:spacing w:before="0"/>
      </w:pPr>
      <w:r>
        <w:t>Условия взрывобезопасности паровоздушной среды при хранении нефтепродуктов</w:t>
      </w:r>
    </w:p>
    <w:p w:rsidR="00C33EE6" w:rsidRDefault="00586869">
      <w:pPr>
        <w:ind w:firstLine="284"/>
        <w:jc w:val="both"/>
      </w:pPr>
      <w:r>
        <w:t xml:space="preserve">Условия взрывобезопасной технологии хранения нефтепродуктов нормируются требованиями ГОСТ 12.1.044-9 </w:t>
      </w:r>
      <w:r w:rsidR="00A8592F">
        <w:t>«</w:t>
      </w:r>
      <w:r>
        <w:t>Пожаровзрывобезопасность веществ и материалов. Номенклатура показателей и методы их определения</w:t>
      </w:r>
      <w:r w:rsidR="00A8592F">
        <w:t>»</w:t>
      </w:r>
      <w:r>
        <w:t xml:space="preserve"> и заключаются в выполнении одного или нескольких следующих неравенств, что обеспечивает предотвращение образования взрывоопасных концентраций внутри и снаружи резервуаров, газовых обвязок и других технологических аппаратов:</w:t>
      </w:r>
    </w:p>
    <w:p w:rsidR="00C33EE6" w:rsidRDefault="00586869">
      <w:pPr>
        <w:ind w:firstLine="284"/>
        <w:jc w:val="both"/>
        <w:rPr>
          <w:u w:val="single"/>
        </w:rPr>
      </w:pPr>
      <w:r>
        <w:rPr>
          <w:u w:val="single"/>
        </w:rPr>
        <w:t>внутри:</w:t>
      </w:r>
    </w:p>
    <w:p w:rsidR="00C33EE6" w:rsidRDefault="00586869">
      <w:pPr>
        <w:ind w:firstLine="284"/>
        <w:jc w:val="both"/>
      </w:pPr>
      <w:r>
        <w:t xml:space="preserve">а) безопасная концентрация горючего вещества, % </w:t>
      </w:r>
      <w:proofErr w:type="gramStart"/>
      <w:r>
        <w:t>об</w:t>
      </w:r>
      <w:proofErr w:type="gramEnd"/>
      <w:r>
        <w:t xml:space="preserve">. </w:t>
      </w:r>
    </w:p>
    <w:p w:rsidR="00C33EE6" w:rsidRDefault="00586869">
      <w:pPr>
        <w:ind w:firstLine="284"/>
        <w:jc w:val="both"/>
      </w:pPr>
      <w:r>
        <w:rPr>
          <w:i/>
        </w:rPr>
        <w:sym w:font="Symbol" w:char="F06A"/>
      </w:r>
      <w:proofErr w:type="spellStart"/>
      <w:r>
        <w:rPr>
          <w:i/>
          <w:vertAlign w:val="subscript"/>
        </w:rPr>
        <w:t>г</w:t>
      </w:r>
      <w:proofErr w:type="gramStart"/>
      <w:r>
        <w:rPr>
          <w:i/>
          <w:vertAlign w:val="subscript"/>
        </w:rPr>
        <w:t>,б</w:t>
      </w:r>
      <w:proofErr w:type="gramEnd"/>
      <w:r>
        <w:rPr>
          <w:i/>
          <w:vertAlign w:val="subscript"/>
        </w:rPr>
        <w:t>ез</w:t>
      </w:r>
      <w:proofErr w:type="spellEnd"/>
      <w:r>
        <w:t xml:space="preserve"> </w:t>
      </w:r>
      <w:r>
        <w:sym w:font="Symbol" w:char="F0A3"/>
      </w:r>
      <w:r>
        <w:t xml:space="preserve"> 0,9 (</w:t>
      </w:r>
      <w:r>
        <w:rPr>
          <w:i/>
        </w:rPr>
        <w:sym w:font="Symbol" w:char="F06A"/>
      </w:r>
      <w:proofErr w:type="spellStart"/>
      <w:r>
        <w:rPr>
          <w:i/>
          <w:vertAlign w:val="subscript"/>
        </w:rPr>
        <w:t>нп</w:t>
      </w:r>
      <w:proofErr w:type="spellEnd"/>
      <w:r>
        <w:t xml:space="preserve"> - 0,7 </w:t>
      </w:r>
      <w:r>
        <w:rPr>
          <w:i/>
          <w:lang w:val="en-US"/>
        </w:rPr>
        <w:t>R</w:t>
      </w:r>
      <w:r>
        <w:t>);</w:t>
      </w:r>
    </w:p>
    <w:p w:rsidR="00C33EE6" w:rsidRDefault="00586869">
      <w:pPr>
        <w:ind w:firstLine="284"/>
        <w:jc w:val="both"/>
      </w:pPr>
      <w:r>
        <w:rPr>
          <w:i/>
        </w:rPr>
        <w:sym w:font="Symbol" w:char="F06A"/>
      </w:r>
      <w:proofErr w:type="spellStart"/>
      <w:r>
        <w:rPr>
          <w:i/>
          <w:vertAlign w:val="subscript"/>
        </w:rPr>
        <w:t>г</w:t>
      </w:r>
      <w:proofErr w:type="gramStart"/>
      <w:r>
        <w:rPr>
          <w:i/>
          <w:vertAlign w:val="subscript"/>
        </w:rPr>
        <w:t>,б</w:t>
      </w:r>
      <w:proofErr w:type="gramEnd"/>
      <w:r>
        <w:rPr>
          <w:i/>
          <w:vertAlign w:val="subscript"/>
        </w:rPr>
        <w:t>ез</w:t>
      </w:r>
      <w:proofErr w:type="spellEnd"/>
      <w:r>
        <w:t xml:space="preserve"> </w:t>
      </w:r>
      <w:r>
        <w:sym w:font="Symbol" w:char="F0B3"/>
      </w:r>
      <w:r>
        <w:t xml:space="preserve"> 1,1 (</w:t>
      </w:r>
      <w:r>
        <w:rPr>
          <w:i/>
        </w:rPr>
        <w:sym w:font="Symbol" w:char="F06A"/>
      </w:r>
      <w:proofErr w:type="spellStart"/>
      <w:r>
        <w:rPr>
          <w:i/>
          <w:vertAlign w:val="subscript"/>
        </w:rPr>
        <w:t>вп</w:t>
      </w:r>
      <w:proofErr w:type="spellEnd"/>
      <w:r>
        <w:t xml:space="preserve"> - 0,7 </w:t>
      </w:r>
      <w:r>
        <w:rPr>
          <w:i/>
          <w:lang w:val="en-US"/>
        </w:rPr>
        <w:t>R</w:t>
      </w:r>
      <w:r>
        <w:t>);</w:t>
      </w:r>
    </w:p>
    <w:p w:rsidR="00C33EE6" w:rsidRDefault="00586869">
      <w:pPr>
        <w:ind w:firstLine="284"/>
        <w:jc w:val="both"/>
      </w:pPr>
      <w:r>
        <w:t xml:space="preserve">б) безопасная </w:t>
      </w:r>
      <w:proofErr w:type="spellStart"/>
      <w:r>
        <w:t>флегматизирующая</w:t>
      </w:r>
      <w:proofErr w:type="spellEnd"/>
      <w:r>
        <w:t xml:space="preserve"> концентрация </w:t>
      </w:r>
      <w:proofErr w:type="spellStart"/>
      <w:r>
        <w:t>флегматизатора</w:t>
      </w:r>
      <w:proofErr w:type="spellEnd"/>
      <w:r>
        <w:t xml:space="preserve">, % </w:t>
      </w:r>
      <w:proofErr w:type="gramStart"/>
      <w:r>
        <w:t>об</w:t>
      </w:r>
      <w:proofErr w:type="gramEnd"/>
      <w:r>
        <w:t xml:space="preserve">. </w:t>
      </w:r>
    </w:p>
    <w:p w:rsidR="00C33EE6" w:rsidRDefault="00586869">
      <w:pPr>
        <w:ind w:firstLine="284"/>
        <w:jc w:val="both"/>
      </w:pPr>
      <w:r>
        <w:rPr>
          <w:i/>
        </w:rPr>
        <w:sym w:font="Symbol" w:char="F06A"/>
      </w:r>
      <w:proofErr w:type="spellStart"/>
      <w:r>
        <w:rPr>
          <w:i/>
          <w:vertAlign w:val="subscript"/>
        </w:rPr>
        <w:t>ф</w:t>
      </w:r>
      <w:proofErr w:type="gramStart"/>
      <w:r>
        <w:rPr>
          <w:i/>
          <w:vertAlign w:val="subscript"/>
        </w:rPr>
        <w:t>,б</w:t>
      </w:r>
      <w:proofErr w:type="gramEnd"/>
      <w:r>
        <w:rPr>
          <w:i/>
          <w:vertAlign w:val="subscript"/>
        </w:rPr>
        <w:t>ез</w:t>
      </w:r>
      <w:proofErr w:type="spellEnd"/>
      <w:r>
        <w:t xml:space="preserve"> </w:t>
      </w:r>
      <w:r>
        <w:sym w:font="Symbol" w:char="F0B3"/>
      </w:r>
      <w:r>
        <w:t xml:space="preserve"> 1,1 (</w:t>
      </w:r>
      <w:r>
        <w:rPr>
          <w:i/>
        </w:rPr>
        <w:sym w:font="Symbol" w:char="F06A"/>
      </w:r>
      <w:r>
        <w:rPr>
          <w:i/>
          <w:vertAlign w:val="subscript"/>
        </w:rPr>
        <w:t>ф</w:t>
      </w:r>
      <w:r>
        <w:t xml:space="preserve"> + 0,7 </w:t>
      </w:r>
      <w:r>
        <w:rPr>
          <w:i/>
          <w:lang w:val="en-US"/>
        </w:rPr>
        <w:t>R</w:t>
      </w:r>
      <w:r>
        <w:t>);</w:t>
      </w:r>
    </w:p>
    <w:p w:rsidR="00C33EE6" w:rsidRDefault="00586869">
      <w:pPr>
        <w:ind w:firstLine="284"/>
        <w:jc w:val="both"/>
      </w:pPr>
      <w:r>
        <w:t xml:space="preserve">или безопасная концентрация кислорода в горючей смеси, % </w:t>
      </w:r>
      <w:proofErr w:type="gramStart"/>
      <w:r>
        <w:t>об</w:t>
      </w:r>
      <w:proofErr w:type="gramEnd"/>
      <w:r>
        <w:t>.</w:t>
      </w:r>
    </w:p>
    <w:p w:rsidR="00C33EE6" w:rsidRDefault="00586869">
      <w:pPr>
        <w:ind w:firstLine="284"/>
        <w:jc w:val="both"/>
      </w:pPr>
      <w:r>
        <w:rPr>
          <w:i/>
        </w:rPr>
        <w:sym w:font="Symbol" w:char="F06A"/>
      </w:r>
      <w:proofErr w:type="spellStart"/>
      <w:r>
        <w:rPr>
          <w:i/>
          <w:vertAlign w:val="subscript"/>
        </w:rPr>
        <w:t>о</w:t>
      </w:r>
      <w:proofErr w:type="gramStart"/>
      <w:r>
        <w:rPr>
          <w:i/>
          <w:vertAlign w:val="subscript"/>
        </w:rPr>
        <w:t>,б</w:t>
      </w:r>
      <w:proofErr w:type="gramEnd"/>
      <w:r>
        <w:rPr>
          <w:i/>
          <w:vertAlign w:val="subscript"/>
        </w:rPr>
        <w:t>ез</w:t>
      </w:r>
      <w:proofErr w:type="spellEnd"/>
      <w:r>
        <w:t xml:space="preserve"> </w:t>
      </w:r>
      <w:r>
        <w:sym w:font="Symbol" w:char="F0A3"/>
      </w:r>
      <w:r>
        <w:t xml:space="preserve"> 0,9 (</w:t>
      </w:r>
      <w:r>
        <w:rPr>
          <w:i/>
        </w:rPr>
        <w:sym w:font="Symbol" w:char="F06A"/>
      </w:r>
      <w:r>
        <w:rPr>
          <w:i/>
          <w:vertAlign w:val="subscript"/>
        </w:rPr>
        <w:t>о</w:t>
      </w:r>
      <w:r>
        <w:t xml:space="preserve"> - 0,7 </w:t>
      </w:r>
      <w:r>
        <w:rPr>
          <w:i/>
          <w:lang w:val="en-US"/>
        </w:rPr>
        <w:t>R</w:t>
      </w:r>
      <w:r>
        <w:t>);</w:t>
      </w:r>
    </w:p>
    <w:p w:rsidR="00C33EE6" w:rsidRDefault="00586869">
      <w:pPr>
        <w:ind w:firstLine="284"/>
        <w:jc w:val="both"/>
        <w:rPr>
          <w:u w:val="single"/>
        </w:rPr>
      </w:pPr>
      <w:r>
        <w:rPr>
          <w:u w:val="single"/>
        </w:rPr>
        <w:t>снаружи:</w:t>
      </w:r>
    </w:p>
    <w:p w:rsidR="00C33EE6" w:rsidRDefault="00586869">
      <w:pPr>
        <w:ind w:firstLine="284"/>
        <w:jc w:val="both"/>
      </w:pPr>
      <w:r>
        <w:t xml:space="preserve">безопасная концентрация горючего вещества, % </w:t>
      </w:r>
      <w:proofErr w:type="gramStart"/>
      <w:r>
        <w:t>об</w:t>
      </w:r>
      <w:proofErr w:type="gramEnd"/>
      <w:r>
        <w:t xml:space="preserve">. </w:t>
      </w:r>
    </w:p>
    <w:p w:rsidR="00C33EE6" w:rsidRDefault="00586869">
      <w:pPr>
        <w:ind w:firstLine="284"/>
        <w:jc w:val="both"/>
      </w:pPr>
      <w:r>
        <w:rPr>
          <w:i/>
        </w:rPr>
        <w:sym w:font="Symbol" w:char="F06A"/>
      </w:r>
      <w:proofErr w:type="spellStart"/>
      <w:r>
        <w:rPr>
          <w:i/>
          <w:vertAlign w:val="subscript"/>
        </w:rPr>
        <w:t>г</w:t>
      </w:r>
      <w:proofErr w:type="gramStart"/>
      <w:r>
        <w:rPr>
          <w:i/>
          <w:vertAlign w:val="subscript"/>
        </w:rPr>
        <w:t>,б</w:t>
      </w:r>
      <w:proofErr w:type="gramEnd"/>
      <w:r>
        <w:rPr>
          <w:i/>
          <w:vertAlign w:val="subscript"/>
        </w:rPr>
        <w:t>ез</w:t>
      </w:r>
      <w:proofErr w:type="spellEnd"/>
      <w:r>
        <w:t xml:space="preserve"> </w:t>
      </w:r>
      <w:r>
        <w:sym w:font="Symbol" w:char="F0A3"/>
      </w:r>
      <w:r>
        <w:t xml:space="preserve"> 0,9 (</w:t>
      </w:r>
      <w:r>
        <w:rPr>
          <w:i/>
        </w:rPr>
        <w:sym w:font="Symbol" w:char="F06A"/>
      </w:r>
      <w:proofErr w:type="spellStart"/>
      <w:r>
        <w:rPr>
          <w:i/>
          <w:vertAlign w:val="subscript"/>
        </w:rPr>
        <w:t>нп</w:t>
      </w:r>
      <w:proofErr w:type="spellEnd"/>
      <w:r>
        <w:t xml:space="preserve"> - 0,7 </w:t>
      </w:r>
      <w:r>
        <w:rPr>
          <w:i/>
          <w:lang w:val="en-US"/>
        </w:rPr>
        <w:t>R</w:t>
      </w:r>
      <w:r>
        <w:t>);</w:t>
      </w:r>
    </w:p>
    <w:p w:rsidR="00C33EE6" w:rsidRDefault="00586869">
      <w:pPr>
        <w:jc w:val="both"/>
        <w:rPr>
          <w:i/>
        </w:rPr>
      </w:pPr>
      <w:r>
        <w:t xml:space="preserve">где </w:t>
      </w:r>
      <w:r>
        <w:rPr>
          <w:i/>
        </w:rPr>
        <w:sym w:font="Symbol" w:char="F06A"/>
      </w:r>
      <w:proofErr w:type="spellStart"/>
      <w:r>
        <w:rPr>
          <w:i/>
          <w:vertAlign w:val="subscript"/>
        </w:rPr>
        <w:t>нп</w:t>
      </w:r>
      <w:proofErr w:type="spellEnd"/>
      <w:r>
        <w:rPr>
          <w:i/>
        </w:rPr>
        <w:t>;</w:t>
      </w:r>
      <w:r>
        <w:t xml:space="preserve"> </w:t>
      </w:r>
      <w:r>
        <w:rPr>
          <w:i/>
        </w:rPr>
        <w:sym w:font="Symbol" w:char="F06A"/>
      </w:r>
      <w:proofErr w:type="spellStart"/>
      <w:r>
        <w:rPr>
          <w:i/>
          <w:vertAlign w:val="subscript"/>
        </w:rPr>
        <w:t>вп</w:t>
      </w:r>
      <w:proofErr w:type="spellEnd"/>
      <w:r>
        <w:t xml:space="preserve"> - нижний и верхний концентрационный предел распространения пламени по смеси горючего вещества с воздухом соответственно, % об</w:t>
      </w:r>
      <w:proofErr w:type="gramStart"/>
      <w:r>
        <w:t xml:space="preserve">.; </w:t>
      </w:r>
      <w:r>
        <w:rPr>
          <w:i/>
        </w:rPr>
        <w:sym w:font="Symbol" w:char="F06A"/>
      </w:r>
      <w:proofErr w:type="gramEnd"/>
      <w:r>
        <w:rPr>
          <w:i/>
          <w:vertAlign w:val="subscript"/>
        </w:rPr>
        <w:t>ф</w:t>
      </w:r>
      <w:r>
        <w:t xml:space="preserve"> - минимальная </w:t>
      </w:r>
      <w:proofErr w:type="spellStart"/>
      <w:r>
        <w:t>флегматизирующая</w:t>
      </w:r>
      <w:proofErr w:type="spellEnd"/>
      <w:r>
        <w:t xml:space="preserve"> концентрация </w:t>
      </w:r>
      <w:proofErr w:type="spellStart"/>
      <w:r>
        <w:t>флегматизатора</w:t>
      </w:r>
      <w:proofErr w:type="spellEnd"/>
      <w:r>
        <w:t xml:space="preserve">, % об.; </w:t>
      </w:r>
      <w:r>
        <w:rPr>
          <w:i/>
        </w:rPr>
        <w:sym w:font="Symbol" w:char="F06A"/>
      </w:r>
      <w:r>
        <w:rPr>
          <w:i/>
          <w:vertAlign w:val="subscript"/>
        </w:rPr>
        <w:t>о</w:t>
      </w:r>
      <w:r>
        <w:t xml:space="preserve"> - минимальное взрывоопасное содержание кислорода в горючей смеси, % об.; </w:t>
      </w:r>
      <w:r>
        <w:rPr>
          <w:i/>
        </w:rPr>
        <w:t>R -</w:t>
      </w:r>
      <w:r>
        <w:t xml:space="preserve"> </w:t>
      </w:r>
      <w:proofErr w:type="spellStart"/>
      <w:r>
        <w:t>воспроизводимость</w:t>
      </w:r>
      <w:proofErr w:type="spellEnd"/>
      <w:r>
        <w:t xml:space="preserve"> метода определения показателя пожарной опасности при доверительной вероятности 95 %</w:t>
      </w:r>
      <w:r>
        <w:rPr>
          <w:i/>
        </w:rPr>
        <w:t>.</w:t>
      </w:r>
    </w:p>
    <w:p w:rsidR="00C33EE6" w:rsidRDefault="00586869">
      <w:pPr>
        <w:ind w:firstLine="284"/>
        <w:jc w:val="both"/>
      </w:pPr>
      <w:r>
        <w:t>При регламентировании требований к взрывобезопасности технологии должна учитываться возможность отклонения фактической безопасной концентрации от значения, определенного по одной из вышеприведенных формул, с доверительной вероятностью 0,95.</w:t>
      </w:r>
    </w:p>
    <w:p w:rsidR="00A8592F" w:rsidRDefault="00A8592F">
      <w:pPr>
        <w:overflowPunct/>
        <w:autoSpaceDE/>
        <w:autoSpaceDN/>
        <w:adjustRightInd/>
        <w:textAlignment w:val="auto"/>
        <w:rPr>
          <w:i/>
          <w:spacing w:val="40"/>
          <w:kern w:val="28"/>
        </w:rPr>
      </w:pPr>
      <w:r>
        <w:rPr>
          <w:b/>
          <w:i/>
          <w:spacing w:val="40"/>
        </w:rPr>
        <w:br w:type="page"/>
      </w:r>
    </w:p>
    <w:p w:rsidR="00C33EE6" w:rsidRDefault="00586869">
      <w:pPr>
        <w:pStyle w:val="1"/>
        <w:jc w:val="right"/>
        <w:rPr>
          <w:b w:val="0"/>
          <w:i/>
        </w:rPr>
      </w:pPr>
      <w:r>
        <w:rPr>
          <w:b w:val="0"/>
          <w:i/>
          <w:spacing w:val="40"/>
        </w:rPr>
        <w:lastRenderedPageBreak/>
        <w:t>Приложение</w:t>
      </w:r>
      <w:r>
        <w:rPr>
          <w:b w:val="0"/>
          <w:i/>
        </w:rPr>
        <w:t xml:space="preserve"> 4</w:t>
      </w:r>
    </w:p>
    <w:p w:rsidR="00C33EE6" w:rsidRDefault="00586869">
      <w:pPr>
        <w:pStyle w:val="1"/>
        <w:spacing w:before="0"/>
      </w:pPr>
      <w:r>
        <w:t>Взрывоустойчивая сотовая технология хранения нефтепродукта</w:t>
      </w:r>
    </w:p>
    <w:p w:rsidR="00C33EE6" w:rsidRDefault="00586869">
      <w:pPr>
        <w:ind w:firstLine="284"/>
        <w:jc w:val="both"/>
      </w:pPr>
      <w:r>
        <w:t>Взрывоустойчивая сотовая технология хранения нефтепродукта - технология хранения нефтепродукта в топливной емкости (резервуаре), заполненной пористым материалом или металлической насадкой, имеющей разветвленную поверхность (</w:t>
      </w:r>
      <w:r w:rsidR="00A8592F">
        <w:t>«</w:t>
      </w:r>
      <w:r>
        <w:t>соты</w:t>
      </w:r>
      <w:r w:rsidR="00A8592F">
        <w:t>»</w:t>
      </w:r>
      <w:r>
        <w:t xml:space="preserve">). Отличительной особенностью сотовой технологии является то, что при появлении источника зажигания внутри емкости происходит гашение пламени в порах насадки, а возникающее локальное давление взрыва не способно разрушить емкость и деформировать </w:t>
      </w:r>
      <w:r w:rsidR="00A8592F">
        <w:t>«</w:t>
      </w:r>
      <w:r>
        <w:t>соты</w:t>
      </w:r>
      <w:r w:rsidR="00A8592F">
        <w:t>»</w:t>
      </w:r>
      <w:r>
        <w:t>.</w:t>
      </w:r>
    </w:p>
    <w:p w:rsidR="00C33EE6" w:rsidRDefault="00586869">
      <w:pPr>
        <w:ind w:firstLine="284"/>
        <w:jc w:val="both"/>
      </w:pPr>
      <w:r>
        <w:t xml:space="preserve">Применение взрывоустойчивой сотовой технологии следует рассматривать как комплексное решение в области создания </w:t>
      </w:r>
      <w:proofErr w:type="spellStart"/>
      <w:r>
        <w:t>пожаровзрывобезопасной</w:t>
      </w:r>
      <w:proofErr w:type="spellEnd"/>
      <w:r>
        <w:t xml:space="preserve"> технологии транспортирования и хранения нефтепродуктов.</w:t>
      </w:r>
    </w:p>
    <w:p w:rsidR="00C33EE6" w:rsidRDefault="00586869">
      <w:pPr>
        <w:ind w:firstLine="284"/>
        <w:jc w:val="both"/>
      </w:pPr>
      <w:r>
        <w:t>Сотовая технология хранения нефтепродуктов должна отвечать следующим основным условиям:</w:t>
      </w:r>
    </w:p>
    <w:p w:rsidR="00C33EE6" w:rsidRDefault="00586869">
      <w:pPr>
        <w:ind w:firstLine="284"/>
        <w:jc w:val="both"/>
      </w:pPr>
      <w:r>
        <w:t>обеспечивать надежное гашение локального очага пламени внутри топливной емкости;</w:t>
      </w:r>
    </w:p>
    <w:p w:rsidR="00C33EE6" w:rsidRDefault="00586869">
      <w:pPr>
        <w:ind w:firstLine="284"/>
        <w:jc w:val="both"/>
      </w:pPr>
      <w:r>
        <w:t xml:space="preserve">локальное избыточное давление при взрыве не должно превышать 1 кПа или приводить к деформации или сдвигу </w:t>
      </w:r>
      <w:r w:rsidR="00A8592F">
        <w:t>«</w:t>
      </w:r>
      <w:r>
        <w:t>сот</w:t>
      </w:r>
      <w:r w:rsidR="00A8592F">
        <w:t>»</w:t>
      </w:r>
      <w:r>
        <w:t>.</w:t>
      </w:r>
    </w:p>
    <w:p w:rsidR="00C33EE6" w:rsidRDefault="00586869">
      <w:pPr>
        <w:ind w:firstLine="284"/>
        <w:jc w:val="both"/>
      </w:pPr>
      <w:r>
        <w:t xml:space="preserve">материя </w:t>
      </w:r>
      <w:r w:rsidR="00A8592F">
        <w:t>«</w:t>
      </w:r>
      <w:r>
        <w:t>сот</w:t>
      </w:r>
      <w:r w:rsidR="00A8592F">
        <w:t>»</w:t>
      </w:r>
      <w:r>
        <w:t xml:space="preserve"> должен способствовать интенсивному отводу тепла внутрь жидкости при внешнем воздействии пожара на топливную емкость;</w:t>
      </w:r>
    </w:p>
    <w:p w:rsidR="00C33EE6" w:rsidRDefault="00586869">
      <w:pPr>
        <w:ind w:firstLine="284"/>
        <w:jc w:val="both"/>
      </w:pPr>
      <w:r>
        <w:t xml:space="preserve">заполнение топливной емкости </w:t>
      </w:r>
      <w:r w:rsidR="00A8592F">
        <w:t>«</w:t>
      </w:r>
      <w:r>
        <w:t>сотами</w:t>
      </w:r>
      <w:r w:rsidR="00A8592F">
        <w:t>»</w:t>
      </w:r>
      <w:r>
        <w:t xml:space="preserve"> должно обеспечивать процесс самопроизвольного затухания горения в местах сообщения топливной емкости с атмосферой;</w:t>
      </w:r>
    </w:p>
    <w:p w:rsidR="00C33EE6" w:rsidRDefault="00586869">
      <w:pPr>
        <w:ind w:firstLine="284"/>
        <w:jc w:val="both"/>
      </w:pPr>
      <w:r>
        <w:t xml:space="preserve">объем, занимаемый </w:t>
      </w:r>
      <w:r w:rsidR="00A8592F">
        <w:t>«</w:t>
      </w:r>
      <w:r>
        <w:t>сотами</w:t>
      </w:r>
      <w:r w:rsidR="00A8592F">
        <w:t>»</w:t>
      </w:r>
      <w:r>
        <w:t>, не должен превышать 5 %</w:t>
      </w:r>
      <w:r>
        <w:rPr>
          <w:i/>
        </w:rPr>
        <w:t xml:space="preserve"> </w:t>
      </w:r>
      <w:r>
        <w:t>от вместимости топливной емкости;</w:t>
      </w:r>
    </w:p>
    <w:p w:rsidR="00C33EE6" w:rsidRDefault="00586869">
      <w:pPr>
        <w:ind w:firstLine="284"/>
        <w:jc w:val="both"/>
      </w:pPr>
      <w:r>
        <w:t xml:space="preserve">потеря объема </w:t>
      </w:r>
      <w:r w:rsidR="00A8592F">
        <w:t>«</w:t>
      </w:r>
      <w:r>
        <w:t>сот</w:t>
      </w:r>
      <w:r w:rsidR="00A8592F">
        <w:t>»</w:t>
      </w:r>
      <w:r>
        <w:t xml:space="preserve"> за счет собственного веса не должна превышать 5 % при высоте штабеля не менее 15 м;</w:t>
      </w:r>
    </w:p>
    <w:p w:rsidR="00C33EE6" w:rsidRDefault="00586869">
      <w:pPr>
        <w:ind w:firstLine="284"/>
        <w:jc w:val="both"/>
      </w:pPr>
      <w:r>
        <w:t xml:space="preserve">конструкция </w:t>
      </w:r>
      <w:r w:rsidR="00A8592F">
        <w:t>«</w:t>
      </w:r>
      <w:r>
        <w:t>сот</w:t>
      </w:r>
      <w:r w:rsidR="00A8592F">
        <w:t>»</w:t>
      </w:r>
      <w:r>
        <w:t xml:space="preserve"> должна обеспечивать их монтаж как при изготовлении топливной емкости, гак и в процессе ее эксплуатации без проведения каких-либо специальных подготовительных работ;</w:t>
      </w:r>
    </w:p>
    <w:p w:rsidR="00C33EE6" w:rsidRDefault="00586869">
      <w:pPr>
        <w:ind w:firstLine="284"/>
        <w:jc w:val="both"/>
      </w:pPr>
      <w:r>
        <w:t xml:space="preserve">гарантированный срок эксплуатации </w:t>
      </w:r>
      <w:r w:rsidR="00A8592F">
        <w:t>«</w:t>
      </w:r>
      <w:r>
        <w:t>сот</w:t>
      </w:r>
      <w:r w:rsidR="00A8592F">
        <w:t>»</w:t>
      </w:r>
      <w:r>
        <w:t xml:space="preserve"> должен быть не менее 10 лет.</w:t>
      </w:r>
    </w:p>
    <w:p w:rsidR="00C33EE6" w:rsidRDefault="00586869">
      <w:pPr>
        <w:ind w:firstLine="284"/>
        <w:jc w:val="both"/>
      </w:pPr>
      <w:r>
        <w:t xml:space="preserve">Для каждой топливной емкости должны быть определены исходные данные на применение </w:t>
      </w:r>
      <w:r w:rsidR="00A8592F">
        <w:t>«</w:t>
      </w:r>
      <w:r>
        <w:t>сот</w:t>
      </w:r>
      <w:r w:rsidR="00A8592F">
        <w:t>»</w:t>
      </w:r>
      <w:r>
        <w:t>, которые включают в себя:</w:t>
      </w:r>
    </w:p>
    <w:p w:rsidR="00C33EE6" w:rsidRDefault="00586869">
      <w:pPr>
        <w:ind w:firstLine="284"/>
        <w:jc w:val="both"/>
      </w:pPr>
      <w:r>
        <w:t xml:space="preserve">технические характеристики сотовой технологии хранения; </w:t>
      </w:r>
    </w:p>
    <w:p w:rsidR="00C33EE6" w:rsidRDefault="00586869">
      <w:pPr>
        <w:ind w:firstLine="284"/>
        <w:jc w:val="both"/>
      </w:pPr>
      <w:r>
        <w:t xml:space="preserve">рабочие чертежи по установке </w:t>
      </w:r>
      <w:r w:rsidR="00A8592F">
        <w:t>«</w:t>
      </w:r>
      <w:r>
        <w:t>сот</w:t>
      </w:r>
      <w:r w:rsidR="00A8592F">
        <w:t>»</w:t>
      </w:r>
      <w:r>
        <w:t xml:space="preserve"> внутри топливной емкости;</w:t>
      </w:r>
    </w:p>
    <w:p w:rsidR="00C33EE6" w:rsidRDefault="00586869">
      <w:pPr>
        <w:ind w:firstLine="284"/>
        <w:jc w:val="both"/>
      </w:pPr>
      <w:r>
        <w:t xml:space="preserve">указания по установке </w:t>
      </w:r>
      <w:r w:rsidR="00A8592F">
        <w:t>«</w:t>
      </w:r>
      <w:r>
        <w:t>сот</w:t>
      </w:r>
      <w:r w:rsidR="00A8592F">
        <w:t>»</w:t>
      </w:r>
      <w:r>
        <w:t xml:space="preserve"> в топливную емкость; </w:t>
      </w:r>
    </w:p>
    <w:p w:rsidR="00C33EE6" w:rsidRDefault="00586869">
      <w:pPr>
        <w:ind w:firstLine="284"/>
        <w:jc w:val="both"/>
      </w:pPr>
      <w:r>
        <w:t xml:space="preserve">правила </w:t>
      </w:r>
      <w:proofErr w:type="gramStart"/>
      <w:r>
        <w:t>контроля за</w:t>
      </w:r>
      <w:proofErr w:type="gramEnd"/>
      <w:r>
        <w:t xml:space="preserve"> техническим состоянием </w:t>
      </w:r>
      <w:r w:rsidR="00A8592F">
        <w:t>«</w:t>
      </w:r>
      <w:r>
        <w:t>сот</w:t>
      </w:r>
      <w:r w:rsidR="00A8592F">
        <w:t>»</w:t>
      </w:r>
      <w:r>
        <w:t>, установленных в топливной емкости.</w:t>
      </w:r>
    </w:p>
    <w:p w:rsidR="00A8592F" w:rsidRDefault="00A8592F">
      <w:pPr>
        <w:overflowPunct/>
        <w:autoSpaceDE/>
        <w:autoSpaceDN/>
        <w:adjustRightInd/>
        <w:textAlignment w:val="auto"/>
        <w:rPr>
          <w:i/>
          <w:kern w:val="28"/>
        </w:rPr>
      </w:pPr>
      <w:r>
        <w:rPr>
          <w:b/>
          <w:i/>
        </w:rPr>
        <w:br w:type="page"/>
      </w:r>
    </w:p>
    <w:p w:rsidR="00C33EE6" w:rsidRDefault="00586869">
      <w:pPr>
        <w:pStyle w:val="1"/>
        <w:jc w:val="right"/>
        <w:rPr>
          <w:b w:val="0"/>
          <w:i/>
          <w:lang w:val="en-US"/>
        </w:rPr>
      </w:pPr>
      <w:r>
        <w:rPr>
          <w:b w:val="0"/>
          <w:i/>
        </w:rPr>
        <w:lastRenderedPageBreak/>
        <w:t>Приложение 5</w:t>
      </w:r>
    </w:p>
    <w:p w:rsidR="00C33EE6" w:rsidRDefault="00586869">
      <w:pPr>
        <w:pStyle w:val="1"/>
        <w:spacing w:before="0"/>
      </w:pPr>
      <w:r>
        <w:t>Ограждающая стена для удержания гидродинамического истечения жидкости в случае разрушения резервуара</w:t>
      </w:r>
    </w:p>
    <w:p w:rsidR="00C33EE6" w:rsidRDefault="00586869">
      <w:pPr>
        <w:ind w:firstLine="284"/>
        <w:jc w:val="both"/>
      </w:pPr>
      <w:r>
        <w:t xml:space="preserve">Одним из эффективных технических решений, способных предотвратить последствия гидродинамического истечения жидкости (волны прорыва) в случае внезапного разрушения резервуара, считается устройство принципиально нового железобетонного ограждения (рис. 2), имеющего конструктивную особенность - </w:t>
      </w:r>
      <w:proofErr w:type="spellStart"/>
      <w:r>
        <w:t>волноотражающий</w:t>
      </w:r>
      <w:proofErr w:type="spellEnd"/>
      <w:r>
        <w:t xml:space="preserve"> козырек, который позволяет уменьшить высоту стены ограждения и защитный зуб, для принятия основной нагрузки, возникающей при гидродинамическом истечении.</w:t>
      </w:r>
    </w:p>
    <w:p w:rsidR="00C33EE6" w:rsidRDefault="00586869">
      <w:pPr>
        <w:ind w:firstLine="284"/>
        <w:jc w:val="both"/>
      </w:pPr>
      <w:r>
        <w:t>Параметрами, на основании которых производится проектирование ограждающей стены, является ее высота и динамические нагрузки, возникающие при взаимодействии полны прорыва с ограждающей стеной.</w:t>
      </w:r>
    </w:p>
    <w:p w:rsidR="00C33EE6" w:rsidRDefault="00586869">
      <w:pPr>
        <w:ind w:firstLine="284"/>
        <w:jc w:val="both"/>
      </w:pPr>
      <w:r>
        <w:t xml:space="preserve">Высоту ограждающей стены определяют по номограмме (рис. 3) на основании расчетной схемы, приведенной на рис. 4. При определении оптимальной высоты стены исходят из особенностей планировочных решений резервуарного парки и необходимости устройства </w:t>
      </w:r>
      <w:proofErr w:type="spellStart"/>
      <w:r>
        <w:t>подслойного</w:t>
      </w:r>
      <w:proofErr w:type="spellEnd"/>
      <w:r>
        <w:t xml:space="preserve"> тушения в пространстве между ограждающей стеной и резервуаром.</w:t>
      </w:r>
    </w:p>
    <w:p w:rsidR="00C33EE6" w:rsidRDefault="00586869">
      <w:pPr>
        <w:ind w:firstLine="284"/>
        <w:jc w:val="both"/>
      </w:pPr>
      <w:r>
        <w:t>Для наиболее неблагоприятного случая гидродинамического истечения конструкция ограждающей стены должна быть рассчитана на нагрузку, равную 150 тоннам на погонный метр.</w:t>
      </w:r>
    </w:p>
    <w:p w:rsidR="00C33EE6" w:rsidRDefault="00586869">
      <w:pPr>
        <w:ind w:firstLine="284"/>
        <w:jc w:val="both"/>
      </w:pPr>
      <w:r>
        <w:t xml:space="preserve">Выбор оптимальных параметров ограждающей стены может быть реализован на основании численного </w:t>
      </w:r>
      <w:proofErr w:type="gramStart"/>
      <w:r>
        <w:t>решения</w:t>
      </w:r>
      <w:r>
        <w:rPr>
          <w:i/>
        </w:rPr>
        <w:t xml:space="preserve"> </w:t>
      </w:r>
      <w:r>
        <w:t>математической модели образования волны прорыва</w:t>
      </w:r>
      <w:proofErr w:type="gramEnd"/>
      <w:r>
        <w:t xml:space="preserve"> и ее последующего взаимодействия с ограждением.</w:t>
      </w:r>
    </w:p>
    <w:p w:rsidR="00C33EE6" w:rsidRDefault="00586869">
      <w:pPr>
        <w:ind w:firstLine="284"/>
        <w:jc w:val="both"/>
      </w:pPr>
      <w:r>
        <w:t>Результаты многовариантных расчетов на ПЭВМ должны позволять определять при заданном расстоянии от резервуара до ограждающей стены оптимальные параметры полно-отражающего козырька (вылет козырька и угол его наклона) при минимальной высоте ограждающей стены, а также динамические нагрузки на ограждение, в том числе минимальный опрокидывающий момент при различных вариантах устройства защитного зуба.</w:t>
      </w:r>
    </w:p>
    <w:p w:rsidR="00C33EE6" w:rsidRDefault="00DC42AE">
      <w:pPr>
        <w:spacing w:before="120" w:after="120"/>
        <w:jc w:val="center"/>
      </w:pPr>
      <w:r>
        <w:rPr>
          <w:noProof/>
        </w:rPr>
        <w:drawing>
          <wp:inline distT="0" distB="0" distL="0" distR="0">
            <wp:extent cx="2619375" cy="3895725"/>
            <wp:effectExtent l="0" t="0" r="9525" b="9525"/>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619375" cy="3895725"/>
                    </a:xfrm>
                    <a:prstGeom prst="rect">
                      <a:avLst/>
                    </a:prstGeom>
                    <a:noFill/>
                    <a:ln>
                      <a:noFill/>
                    </a:ln>
                  </pic:spPr>
                </pic:pic>
              </a:graphicData>
            </a:graphic>
          </wp:inline>
        </w:drawing>
      </w:r>
    </w:p>
    <w:p w:rsidR="00C33EE6" w:rsidRDefault="00586869">
      <w:pPr>
        <w:jc w:val="center"/>
        <w:rPr>
          <w:i/>
        </w:rPr>
      </w:pPr>
      <w:r>
        <w:rPr>
          <w:i/>
        </w:rPr>
        <w:t>Рис. 2. Схема технического решения ограждающей стены для удержания гидродинамического истечения жидкости в случае разрушения резервуара</w:t>
      </w:r>
    </w:p>
    <w:p w:rsidR="00C33EE6" w:rsidRDefault="00586869">
      <w:pPr>
        <w:spacing w:before="120"/>
        <w:jc w:val="center"/>
        <w:rPr>
          <w:i/>
        </w:rPr>
      </w:pPr>
      <w:r>
        <w:rPr>
          <w:i/>
        </w:rPr>
        <w:lastRenderedPageBreak/>
        <w:t xml:space="preserve">1 - ограждающая стена в виде вертикального ломаного откоса 3; 2 - </w:t>
      </w:r>
      <w:proofErr w:type="spellStart"/>
      <w:r>
        <w:rPr>
          <w:i/>
        </w:rPr>
        <w:t>волноотражающий</w:t>
      </w:r>
      <w:proofErr w:type="spellEnd"/>
      <w:r>
        <w:rPr>
          <w:i/>
        </w:rPr>
        <w:t xml:space="preserve"> козырек; 4 - защитный зуб для гашения энергии волны прорыва; </w:t>
      </w:r>
      <w:r>
        <w:rPr>
          <w:i/>
        </w:rPr>
        <w:sym w:font="Symbol" w:char="F061"/>
      </w:r>
      <w:r>
        <w:rPr>
          <w:i/>
        </w:rPr>
        <w:t xml:space="preserve"> - угол наклона </w:t>
      </w:r>
      <w:proofErr w:type="spellStart"/>
      <w:r>
        <w:rPr>
          <w:i/>
        </w:rPr>
        <w:t>волноотражающего</w:t>
      </w:r>
      <w:proofErr w:type="spellEnd"/>
      <w:r>
        <w:rPr>
          <w:i/>
        </w:rPr>
        <w:t xml:space="preserve"> козырька</w:t>
      </w:r>
    </w:p>
    <w:p w:rsidR="00C33EE6" w:rsidRDefault="00DC42AE">
      <w:pPr>
        <w:spacing w:before="120" w:after="120"/>
        <w:jc w:val="center"/>
      </w:pPr>
      <w:r>
        <w:rPr>
          <w:noProof/>
        </w:rPr>
        <w:drawing>
          <wp:inline distT="0" distB="0" distL="0" distR="0">
            <wp:extent cx="2981325" cy="2552700"/>
            <wp:effectExtent l="0" t="0" r="9525"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981325" cy="2552700"/>
                    </a:xfrm>
                    <a:prstGeom prst="rect">
                      <a:avLst/>
                    </a:prstGeom>
                    <a:noFill/>
                    <a:ln>
                      <a:noFill/>
                    </a:ln>
                  </pic:spPr>
                </pic:pic>
              </a:graphicData>
            </a:graphic>
          </wp:inline>
        </w:drawing>
      </w:r>
    </w:p>
    <w:p w:rsidR="00C33EE6" w:rsidRDefault="00586869">
      <w:pPr>
        <w:jc w:val="center"/>
        <w:rPr>
          <w:i/>
        </w:rPr>
      </w:pPr>
      <w:r>
        <w:rPr>
          <w:i/>
        </w:rPr>
        <w:t>Рис. 3. Номограмма для определения высоты ограждающей стены</w:t>
      </w:r>
    </w:p>
    <w:p w:rsidR="00C33EE6" w:rsidRDefault="00DC42AE">
      <w:pPr>
        <w:spacing w:before="120" w:after="120"/>
        <w:jc w:val="center"/>
      </w:pPr>
      <w:r>
        <w:rPr>
          <w:noProof/>
        </w:rPr>
        <w:drawing>
          <wp:inline distT="0" distB="0" distL="0" distR="0">
            <wp:extent cx="3676650" cy="1838325"/>
            <wp:effectExtent l="0" t="0" r="0" b="9525"/>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676650" cy="1838325"/>
                    </a:xfrm>
                    <a:prstGeom prst="rect">
                      <a:avLst/>
                    </a:prstGeom>
                    <a:noFill/>
                    <a:ln>
                      <a:noFill/>
                    </a:ln>
                  </pic:spPr>
                </pic:pic>
              </a:graphicData>
            </a:graphic>
          </wp:inline>
        </w:drawing>
      </w:r>
    </w:p>
    <w:p w:rsidR="00C33EE6" w:rsidRDefault="00586869">
      <w:pPr>
        <w:ind w:firstLine="284"/>
        <w:jc w:val="both"/>
        <w:rPr>
          <w:i/>
        </w:rPr>
      </w:pPr>
      <w:r>
        <w:rPr>
          <w:i/>
        </w:rPr>
        <w:t>Рис. 4. Схема к определению высоты ограждающей стены</w:t>
      </w:r>
    </w:p>
    <w:p w:rsidR="00A8592F" w:rsidRDefault="00A8592F">
      <w:pPr>
        <w:overflowPunct/>
        <w:autoSpaceDE/>
        <w:autoSpaceDN/>
        <w:adjustRightInd/>
        <w:textAlignment w:val="auto"/>
        <w:rPr>
          <w:i/>
          <w:kern w:val="28"/>
        </w:rPr>
      </w:pPr>
      <w:r>
        <w:rPr>
          <w:b/>
          <w:i/>
        </w:rPr>
        <w:br w:type="page"/>
      </w:r>
    </w:p>
    <w:p w:rsidR="00C33EE6" w:rsidRDefault="00586869">
      <w:pPr>
        <w:pStyle w:val="1"/>
        <w:jc w:val="right"/>
        <w:rPr>
          <w:b w:val="0"/>
          <w:i/>
        </w:rPr>
      </w:pPr>
      <w:r>
        <w:rPr>
          <w:b w:val="0"/>
          <w:i/>
        </w:rPr>
        <w:lastRenderedPageBreak/>
        <w:t>Приложение 6</w:t>
      </w:r>
    </w:p>
    <w:p w:rsidR="00C33EE6" w:rsidRDefault="00586869">
      <w:pPr>
        <w:pStyle w:val="1"/>
        <w:spacing w:before="0"/>
      </w:pPr>
      <w:proofErr w:type="spellStart"/>
      <w:r>
        <w:t>Подслойный</w:t>
      </w:r>
      <w:proofErr w:type="spellEnd"/>
      <w:r>
        <w:t xml:space="preserve"> способ пожаротушения пеной низкой кратности для вертикальных стальных резервуаров</w:t>
      </w:r>
    </w:p>
    <w:p w:rsidR="00C33EE6" w:rsidRDefault="00586869">
      <w:pPr>
        <w:ind w:firstLine="284"/>
        <w:jc w:val="both"/>
      </w:pPr>
      <w:r>
        <w:t xml:space="preserve">Система </w:t>
      </w:r>
      <w:proofErr w:type="spellStart"/>
      <w:r>
        <w:t>подслойного</w:t>
      </w:r>
      <w:proofErr w:type="spellEnd"/>
      <w:r>
        <w:t xml:space="preserve"> пожаротушения (СПТ) резервуара представляет собой протяженную линию трубопроводов и специального оборудования для получения и подачи пены, образованной за обвалованием, внутрь резервуара (рис. 5). </w:t>
      </w:r>
    </w:p>
    <w:p w:rsidR="00C33EE6" w:rsidRDefault="00586869">
      <w:pPr>
        <w:ind w:firstLine="284"/>
        <w:jc w:val="both"/>
      </w:pPr>
      <w:r>
        <w:t xml:space="preserve">В системе СПТ используется следующее оборудование: </w:t>
      </w:r>
    </w:p>
    <w:p w:rsidR="00C33EE6" w:rsidRDefault="00586869">
      <w:pPr>
        <w:ind w:firstLine="284"/>
        <w:jc w:val="both"/>
      </w:pPr>
      <w:r>
        <w:t xml:space="preserve">высоконапорные </w:t>
      </w:r>
      <w:proofErr w:type="spellStart"/>
      <w:r>
        <w:t>пеногенераторы</w:t>
      </w:r>
      <w:proofErr w:type="spellEnd"/>
      <w:r>
        <w:t xml:space="preserve"> (ВПГ); </w:t>
      </w:r>
    </w:p>
    <w:p w:rsidR="00C33EE6" w:rsidRDefault="00586869">
      <w:pPr>
        <w:ind w:firstLine="284"/>
        <w:jc w:val="both"/>
      </w:pPr>
      <w:r>
        <w:t xml:space="preserve">система задвижек до и после обвалования; </w:t>
      </w:r>
    </w:p>
    <w:p w:rsidR="00C33EE6" w:rsidRDefault="00586869">
      <w:pPr>
        <w:ind w:firstLine="284"/>
        <w:jc w:val="both"/>
      </w:pPr>
      <w:r>
        <w:t>обратный клапан;</w:t>
      </w:r>
    </w:p>
    <w:p w:rsidR="00C33EE6" w:rsidRDefault="00586869">
      <w:pPr>
        <w:ind w:firstLine="284"/>
        <w:jc w:val="both"/>
      </w:pPr>
      <w:r>
        <w:t>пакет с калиброванной разрывной мембраной внутри и снаружи резервуара;</w:t>
      </w:r>
    </w:p>
    <w:p w:rsidR="00C33EE6" w:rsidRDefault="00586869">
      <w:pPr>
        <w:ind w:firstLine="284"/>
        <w:jc w:val="both"/>
      </w:pPr>
      <w:r>
        <w:t>внутренняя разводка трубопроводов в резервуаре с пенными насадками.</w:t>
      </w:r>
    </w:p>
    <w:p w:rsidR="00C33EE6" w:rsidRDefault="00586869">
      <w:pPr>
        <w:ind w:firstLine="284"/>
        <w:jc w:val="both"/>
      </w:pPr>
      <w:r>
        <w:t xml:space="preserve">Система </w:t>
      </w:r>
      <w:proofErr w:type="spellStart"/>
      <w:r>
        <w:t>подслойного</w:t>
      </w:r>
      <w:proofErr w:type="spellEnd"/>
      <w:r>
        <w:t xml:space="preserve"> тушения может быть реализована только при использовании специального фторсодержащего пенообразователя, способного </w:t>
      </w:r>
      <w:proofErr w:type="gramStart"/>
      <w:r>
        <w:t>самопроизвольна</w:t>
      </w:r>
      <w:proofErr w:type="gramEnd"/>
      <w:r>
        <w:t xml:space="preserve"> образовывать тонкую водную пленку на поверхности нефтепродукта.</w:t>
      </w:r>
    </w:p>
    <w:p w:rsidR="00C33EE6" w:rsidRDefault="00586869">
      <w:pPr>
        <w:ind w:firstLine="284"/>
        <w:jc w:val="both"/>
      </w:pPr>
      <w:r>
        <w:t>Пенообразователи и их водные рабочие распоры должны отвечать следующим параметрам:</w:t>
      </w:r>
    </w:p>
    <w:p w:rsidR="00C33EE6" w:rsidRDefault="00586869">
      <w:pPr>
        <w:ind w:firstLine="284"/>
        <w:jc w:val="both"/>
      </w:pPr>
      <w:r>
        <w:t>температура замерзания концентрата пенообразователя - не ниже минус 15</w:t>
      </w:r>
      <w:proofErr w:type="gramStart"/>
      <w:r>
        <w:t xml:space="preserve"> °С</w:t>
      </w:r>
      <w:proofErr w:type="gramEnd"/>
      <w:r>
        <w:t>;</w:t>
      </w:r>
    </w:p>
    <w:p w:rsidR="00C33EE6" w:rsidRDefault="00586869">
      <w:pPr>
        <w:ind w:firstLine="284"/>
        <w:jc w:val="both"/>
      </w:pPr>
      <w:r>
        <w:t>срок хранения концентрата пенообразователя - не менее 10 лет;</w:t>
      </w:r>
    </w:p>
    <w:p w:rsidR="00C33EE6" w:rsidRDefault="00586869">
      <w:pPr>
        <w:ind w:firstLine="284"/>
        <w:jc w:val="both"/>
      </w:pPr>
      <w:r>
        <w:t>по токсичности пенообразователь должен соответствовать четвертому классу опасности;</w:t>
      </w:r>
    </w:p>
    <w:p w:rsidR="00C33EE6" w:rsidRDefault="00586869">
      <w:pPr>
        <w:ind w:firstLine="284"/>
        <w:jc w:val="both"/>
      </w:pPr>
      <w:r>
        <w:t xml:space="preserve">пенообразователь не должен содержать осадка и посторонних примесей; концентрация рабочего раствора пенообразователя в воде - 3 или 6 % </w:t>
      </w:r>
      <w:proofErr w:type="gramStart"/>
      <w:r>
        <w:t>об</w:t>
      </w:r>
      <w:proofErr w:type="gramEnd"/>
      <w:r>
        <w:t xml:space="preserve">. При использовании морской и жесткой воды концентрация раствора не должна превышать 8 % </w:t>
      </w:r>
      <w:proofErr w:type="gramStart"/>
      <w:r>
        <w:t>об</w:t>
      </w:r>
      <w:proofErr w:type="gramEnd"/>
      <w:r>
        <w:t>.;</w:t>
      </w:r>
    </w:p>
    <w:p w:rsidR="00C33EE6" w:rsidRDefault="00586869">
      <w:pPr>
        <w:ind w:firstLine="284"/>
        <w:jc w:val="both"/>
      </w:pPr>
      <w:r>
        <w:t>поверхностное натяжение рабочего раствора пенообразователя - не выше 19 мН</w:t>
      </w:r>
      <w:r>
        <w:sym w:font="Symbol" w:char="F0D7"/>
      </w:r>
      <w:r>
        <w:t>м</w:t>
      </w:r>
      <w:r>
        <w:rPr>
          <w:vertAlign w:val="superscript"/>
        </w:rPr>
        <w:t>-1</w:t>
      </w:r>
      <w:r>
        <w:t>.</w:t>
      </w:r>
    </w:p>
    <w:p w:rsidR="00C33EE6" w:rsidRDefault="00586869">
      <w:pPr>
        <w:ind w:firstLine="284"/>
        <w:jc w:val="both"/>
      </w:pPr>
      <w:r>
        <w:t xml:space="preserve">Высоконапорным </w:t>
      </w:r>
      <w:proofErr w:type="spellStart"/>
      <w:r>
        <w:t>пеногенератором</w:t>
      </w:r>
      <w:proofErr w:type="spellEnd"/>
      <w:r>
        <w:t xml:space="preserve"> может быть устройство переносного или стационарного типа, отвечающее следующим требованиям:</w:t>
      </w:r>
    </w:p>
    <w:p w:rsidR="00C33EE6" w:rsidRDefault="00586869">
      <w:pPr>
        <w:ind w:firstLine="284"/>
        <w:jc w:val="both"/>
      </w:pPr>
      <w:r>
        <w:t xml:space="preserve">кратность пены при давлении раствора на входе 8-10 </w:t>
      </w:r>
      <w:proofErr w:type="spellStart"/>
      <w:proofErr w:type="gramStart"/>
      <w:r>
        <w:t>атм</w:t>
      </w:r>
      <w:proofErr w:type="spellEnd"/>
      <w:proofErr w:type="gramEnd"/>
      <w:r>
        <w:t xml:space="preserve"> и при встречном дарении нефтепродукта 2 </w:t>
      </w:r>
      <w:proofErr w:type="spellStart"/>
      <w:r>
        <w:t>атм</w:t>
      </w:r>
      <w:proofErr w:type="spellEnd"/>
      <w:r>
        <w:t xml:space="preserve"> - не менее 4;</w:t>
      </w:r>
    </w:p>
    <w:p w:rsidR="00C33EE6" w:rsidRDefault="00586869">
      <w:pPr>
        <w:ind w:firstLine="284"/>
        <w:jc w:val="both"/>
      </w:pPr>
      <w:r>
        <w:t>коэффициент преобразования входного давления и давление пенного потока - не менее 0,3;</w:t>
      </w:r>
    </w:p>
    <w:p w:rsidR="00C33EE6" w:rsidRDefault="00586869">
      <w:pPr>
        <w:ind w:firstLine="284"/>
        <w:jc w:val="both"/>
      </w:pPr>
      <w:r>
        <w:t>производительность по водному раствору - не менее 10 л</w:t>
      </w:r>
      <w:r>
        <w:sym w:font="Symbol" w:char="F0D7"/>
      </w:r>
      <w:r>
        <w:t>с</w:t>
      </w:r>
      <w:r>
        <w:rPr>
          <w:vertAlign w:val="superscript"/>
        </w:rPr>
        <w:t>-1</w:t>
      </w:r>
      <w:r>
        <w:t>;</w:t>
      </w:r>
    </w:p>
    <w:p w:rsidR="00C33EE6" w:rsidRDefault="00586869">
      <w:pPr>
        <w:ind w:firstLine="284"/>
        <w:jc w:val="both"/>
      </w:pPr>
      <w:r>
        <w:t xml:space="preserve">конструкция </w:t>
      </w:r>
      <w:proofErr w:type="spellStart"/>
      <w:r>
        <w:t>пеногенератора</w:t>
      </w:r>
      <w:proofErr w:type="spellEnd"/>
      <w:r>
        <w:t xml:space="preserve"> должна обеспечивать условия безопасной работы при давлении раствора не менее 15 атм.</w:t>
      </w:r>
    </w:p>
    <w:p w:rsidR="00C33EE6" w:rsidRDefault="00586869">
      <w:pPr>
        <w:ind w:firstLine="284"/>
        <w:jc w:val="both"/>
      </w:pPr>
      <w:r>
        <w:t xml:space="preserve">Для каждой конкретной схемы </w:t>
      </w:r>
      <w:proofErr w:type="spellStart"/>
      <w:r>
        <w:t>подслойного</w:t>
      </w:r>
      <w:proofErr w:type="spellEnd"/>
      <w:r>
        <w:t xml:space="preserve"> способа пожаротушения пеной низкой кратности должны быть определены следующие показатели:</w:t>
      </w:r>
    </w:p>
    <w:p w:rsidR="00C33EE6" w:rsidRDefault="00586869">
      <w:pPr>
        <w:ind w:firstLine="284"/>
        <w:jc w:val="both"/>
      </w:pPr>
      <w:r>
        <w:t>расходные характеристики по пенообразующему раствору (нормативная интенсивность подачи пленкообразующей пены; расчетная величина кратности пены; расчетное время тушения; расход водного раствора пенообразователя; рабочая концентрация пенообразователя; нормативный запас пенообразователя);</w:t>
      </w:r>
    </w:p>
    <w:p w:rsidR="00C33EE6" w:rsidRDefault="00586869">
      <w:pPr>
        <w:ind w:firstLine="284"/>
        <w:jc w:val="both"/>
      </w:pPr>
      <w:r>
        <w:t xml:space="preserve">параметры системы образования и ввода пены (количество </w:t>
      </w:r>
      <w:proofErr w:type="gramStart"/>
      <w:r>
        <w:t>высоконапорных</w:t>
      </w:r>
      <w:proofErr w:type="gramEnd"/>
      <w:r>
        <w:t xml:space="preserve"> пеногенераторов с фиксированным секундным расходом пенообразующего раствора; количество </w:t>
      </w:r>
      <w:proofErr w:type="spellStart"/>
      <w:r>
        <w:t>насадков</w:t>
      </w:r>
      <w:proofErr w:type="spellEnd"/>
      <w:r>
        <w:t xml:space="preserve"> для ввода пены; расстояние и расположение </w:t>
      </w:r>
      <w:proofErr w:type="spellStart"/>
      <w:r>
        <w:t>насадков</w:t>
      </w:r>
      <w:proofErr w:type="spellEnd"/>
      <w:r>
        <w:t xml:space="preserve"> в резервуаре; рабочее давление водного раствора пенообразователя на входе в </w:t>
      </w:r>
      <w:proofErr w:type="spellStart"/>
      <w:r>
        <w:t>пеногенераторы</w:t>
      </w:r>
      <w:proofErr w:type="spellEnd"/>
      <w:r>
        <w:t>; запас воды, необходимый для тушения).</w:t>
      </w:r>
    </w:p>
    <w:p w:rsidR="00C33EE6" w:rsidRDefault="00DC42AE">
      <w:pPr>
        <w:spacing w:before="120" w:after="120"/>
        <w:jc w:val="center"/>
      </w:pPr>
      <w:r>
        <w:rPr>
          <w:noProof/>
        </w:rPr>
        <w:lastRenderedPageBreak/>
        <w:drawing>
          <wp:inline distT="0" distB="0" distL="0" distR="0">
            <wp:extent cx="3571875" cy="2609850"/>
            <wp:effectExtent l="0" t="0" r="9525"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571875" cy="2609850"/>
                    </a:xfrm>
                    <a:prstGeom prst="rect">
                      <a:avLst/>
                    </a:prstGeom>
                    <a:noFill/>
                    <a:ln>
                      <a:noFill/>
                    </a:ln>
                  </pic:spPr>
                </pic:pic>
              </a:graphicData>
            </a:graphic>
          </wp:inline>
        </w:drawing>
      </w:r>
    </w:p>
    <w:p w:rsidR="00C33EE6" w:rsidRDefault="00586869">
      <w:pPr>
        <w:jc w:val="center"/>
        <w:rPr>
          <w:i/>
        </w:rPr>
      </w:pPr>
      <w:r>
        <w:rPr>
          <w:i/>
        </w:rPr>
        <w:t xml:space="preserve">Рис. 5. Пример общей схемы разводки </w:t>
      </w:r>
      <w:proofErr w:type="spellStart"/>
      <w:r>
        <w:rPr>
          <w:i/>
        </w:rPr>
        <w:t>подслойной</w:t>
      </w:r>
      <w:proofErr w:type="spellEnd"/>
      <w:r>
        <w:rPr>
          <w:i/>
        </w:rPr>
        <w:t xml:space="preserve"> системы в резервуаре </w:t>
      </w:r>
      <w:r>
        <w:rPr>
          <w:i/>
          <w:lang w:val="en-US"/>
        </w:rPr>
        <w:t>PBC-</w:t>
      </w:r>
      <w:r>
        <w:rPr>
          <w:i/>
        </w:rPr>
        <w:t>5000 с бензином при тушении от передвижной техники:</w:t>
      </w:r>
    </w:p>
    <w:p w:rsidR="00C33EE6" w:rsidRDefault="00586869">
      <w:pPr>
        <w:spacing w:before="120"/>
        <w:jc w:val="center"/>
        <w:rPr>
          <w:i/>
        </w:rPr>
      </w:pPr>
      <w:r>
        <w:rPr>
          <w:i/>
        </w:rPr>
        <w:t>1 - внутренняя разводка трубопроводов</w:t>
      </w:r>
      <w:r>
        <w:t xml:space="preserve"> </w:t>
      </w:r>
      <w:r>
        <w:rPr>
          <w:i/>
        </w:rPr>
        <w:t>в резервуаре</w:t>
      </w:r>
      <w:r>
        <w:t>;</w:t>
      </w:r>
      <w:r>
        <w:rPr>
          <w:i/>
        </w:rPr>
        <w:t xml:space="preserve"> 2 - линейный ввод-1; 3 - линейный ввод-2; 4 - коренная задвижка; 5 - разрывная мембрана; 6 - обратный клапан; 7 - обвалование;</w:t>
      </w:r>
      <w:r>
        <w:rPr>
          <w:i/>
          <w:lang w:val="en-US"/>
        </w:rPr>
        <w:t xml:space="preserve"> </w:t>
      </w:r>
      <w:r>
        <w:rPr>
          <w:i/>
        </w:rPr>
        <w:t xml:space="preserve">8 - </w:t>
      </w:r>
      <w:proofErr w:type="gramStart"/>
      <w:r>
        <w:rPr>
          <w:i/>
        </w:rPr>
        <w:t>высоконапорные</w:t>
      </w:r>
      <w:proofErr w:type="gramEnd"/>
      <w:r>
        <w:rPr>
          <w:i/>
        </w:rPr>
        <w:t xml:space="preserve"> </w:t>
      </w:r>
      <w:proofErr w:type="spellStart"/>
      <w:r>
        <w:rPr>
          <w:i/>
        </w:rPr>
        <w:t>пеногенераторы</w:t>
      </w:r>
      <w:proofErr w:type="spellEnd"/>
    </w:p>
    <w:p w:rsidR="00586869" w:rsidRDefault="00586869">
      <w:pPr>
        <w:ind w:firstLine="284"/>
        <w:jc w:val="both"/>
      </w:pPr>
    </w:p>
    <w:sectPr w:rsidR="00586869">
      <w:pgSz w:w="11907" w:h="16840" w:code="9"/>
      <w:pgMar w:top="1440" w:right="1797" w:bottom="1440" w:left="1797"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doNotHyphenateCaps/>
  <w:drawingGridHorizontalSpacing w:val="120"/>
  <w:drawingGridVerticalSpacing w:val="120"/>
  <w:displayVerticalDrawingGridEvery w:val="0"/>
  <w:doNotUseMarginsForDrawingGridOrigin/>
  <w:characterSpacingControl w:val="doNotCompress"/>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42AE"/>
    <w:rsid w:val="00085258"/>
    <w:rsid w:val="001952CF"/>
    <w:rsid w:val="00586869"/>
    <w:rsid w:val="00A8592F"/>
    <w:rsid w:val="00AE624D"/>
    <w:rsid w:val="00C33EE6"/>
    <w:rsid w:val="00DC42A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overflowPunct w:val="0"/>
      <w:autoSpaceDE w:val="0"/>
      <w:autoSpaceDN w:val="0"/>
      <w:adjustRightInd w:val="0"/>
      <w:textAlignment w:val="baseline"/>
    </w:pPr>
  </w:style>
  <w:style w:type="paragraph" w:styleId="1">
    <w:name w:val="heading 1"/>
    <w:basedOn w:val="a"/>
    <w:next w:val="a"/>
    <w:qFormat/>
    <w:pPr>
      <w:keepNext/>
      <w:spacing w:before="120" w:after="120"/>
      <w:jc w:val="center"/>
      <w:outlineLvl w:val="0"/>
    </w:pPr>
    <w:rPr>
      <w:b/>
      <w:kern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8592F"/>
    <w:rPr>
      <w:rFonts w:ascii="Tahoma" w:hAnsi="Tahoma" w:cs="Tahoma"/>
      <w:sz w:val="16"/>
      <w:szCs w:val="16"/>
    </w:rPr>
  </w:style>
  <w:style w:type="character" w:customStyle="1" w:styleId="a4">
    <w:name w:val="Текст выноски Знак"/>
    <w:basedOn w:val="a0"/>
    <w:link w:val="a3"/>
    <w:uiPriority w:val="99"/>
    <w:semiHidden/>
    <w:rsid w:val="00A8592F"/>
    <w:rPr>
      <w:rFonts w:ascii="Tahoma" w:hAnsi="Tahoma" w:cs="Tahoma"/>
      <w:sz w:val="16"/>
      <w:szCs w:val="16"/>
    </w:rPr>
  </w:style>
  <w:style w:type="character" w:styleId="a5">
    <w:name w:val="Hyperlink"/>
    <w:basedOn w:val="a0"/>
    <w:uiPriority w:val="99"/>
    <w:unhideWhenUsed/>
    <w:rsid w:val="00AE624D"/>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overflowPunct w:val="0"/>
      <w:autoSpaceDE w:val="0"/>
      <w:autoSpaceDN w:val="0"/>
      <w:adjustRightInd w:val="0"/>
      <w:textAlignment w:val="baseline"/>
    </w:pPr>
  </w:style>
  <w:style w:type="paragraph" w:styleId="1">
    <w:name w:val="heading 1"/>
    <w:basedOn w:val="a"/>
    <w:next w:val="a"/>
    <w:qFormat/>
    <w:pPr>
      <w:keepNext/>
      <w:spacing w:before="120" w:after="120"/>
      <w:jc w:val="center"/>
      <w:outlineLvl w:val="0"/>
    </w:pPr>
    <w:rPr>
      <w:b/>
      <w:kern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8592F"/>
    <w:rPr>
      <w:rFonts w:ascii="Tahoma" w:hAnsi="Tahoma" w:cs="Tahoma"/>
      <w:sz w:val="16"/>
      <w:szCs w:val="16"/>
    </w:rPr>
  </w:style>
  <w:style w:type="character" w:customStyle="1" w:styleId="a4">
    <w:name w:val="Текст выноски Знак"/>
    <w:basedOn w:val="a0"/>
    <w:link w:val="a3"/>
    <w:uiPriority w:val="99"/>
    <w:semiHidden/>
    <w:rsid w:val="00A8592F"/>
    <w:rPr>
      <w:rFonts w:ascii="Tahoma" w:hAnsi="Tahoma" w:cs="Tahoma"/>
      <w:sz w:val="16"/>
      <w:szCs w:val="16"/>
    </w:rPr>
  </w:style>
  <w:style w:type="character" w:styleId="a5">
    <w:name w:val="Hyperlink"/>
    <w:basedOn w:val="a0"/>
    <w:uiPriority w:val="99"/>
    <w:unhideWhenUsed/>
    <w:rsid w:val="00AE624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wmf"/><Relationship Id="rId18" Type="http://schemas.openxmlformats.org/officeDocument/2006/relationships/image" Target="media/image13.wmf"/><Relationship Id="rId3" Type="http://schemas.openxmlformats.org/officeDocument/2006/relationships/settings" Target="settings.xml"/><Relationship Id="rId21" Type="http://schemas.openxmlformats.org/officeDocument/2006/relationships/image" Target="media/image16.png"/><Relationship Id="rId7" Type="http://schemas.openxmlformats.org/officeDocument/2006/relationships/image" Target="media/image2.png"/><Relationship Id="rId12" Type="http://schemas.openxmlformats.org/officeDocument/2006/relationships/image" Target="media/image7.wmf"/><Relationship Id="rId17" Type="http://schemas.openxmlformats.org/officeDocument/2006/relationships/image" Target="media/image12.wmf"/><Relationship Id="rId2" Type="http://schemas.microsoft.com/office/2007/relationships/stylesWithEffects" Target="stylesWithEffects.xml"/><Relationship Id="rId16" Type="http://schemas.openxmlformats.org/officeDocument/2006/relationships/image" Target="media/image11.wmf"/><Relationship Id="rId20" Type="http://schemas.openxmlformats.org/officeDocument/2006/relationships/image" Target="media/image15.png"/><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wmf"/><Relationship Id="rId24" Type="http://schemas.openxmlformats.org/officeDocument/2006/relationships/theme" Target="theme/theme1.xml"/><Relationship Id="rId5" Type="http://schemas.openxmlformats.org/officeDocument/2006/relationships/hyperlink" Target="https://fireman.club/inseklodepia/sistema-obespecheniya-pozharnoy-bezopasnosti/" TargetMode="External"/><Relationship Id="rId15" Type="http://schemas.openxmlformats.org/officeDocument/2006/relationships/image" Target="media/image10.wmf"/><Relationship Id="rId23" Type="http://schemas.openxmlformats.org/officeDocument/2006/relationships/fontTable" Target="fontTable.xml"/><Relationship Id="rId10" Type="http://schemas.openxmlformats.org/officeDocument/2006/relationships/image" Target="media/image5.wmf"/><Relationship Id="rId19" Type="http://schemas.openxmlformats.org/officeDocument/2006/relationships/image" Target="media/image14.png"/><Relationship Id="rId4" Type="http://schemas.openxmlformats.org/officeDocument/2006/relationships/webSettings" Target="webSettings.xml"/><Relationship Id="rId9" Type="http://schemas.openxmlformats.org/officeDocument/2006/relationships/image" Target="media/image4.png"/><Relationship Id="rId14" Type="http://schemas.openxmlformats.org/officeDocument/2006/relationships/image" Target="media/image9.wmf"/><Relationship Id="rId22" Type="http://schemas.openxmlformats.org/officeDocument/2006/relationships/image" Target="media/image17.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25</Pages>
  <Words>8793</Words>
  <Characters>50121</Characters>
  <Application>Microsoft Office Word</Application>
  <DocSecurity>0</DocSecurity>
  <Lines>417</Lines>
  <Paragraphs>117</Paragraphs>
  <ScaleCrop>false</ScaleCrop>
  <HeadingPairs>
    <vt:vector size="2" baseType="variant">
      <vt:variant>
        <vt:lpstr>Название</vt:lpstr>
      </vt:variant>
      <vt:variant>
        <vt:i4>1</vt:i4>
      </vt:variant>
    </vt:vector>
  </HeadingPairs>
  <TitlesOfParts>
    <vt:vector size="1" baseType="lpstr">
      <vt:lpstr/>
    </vt:vector>
  </TitlesOfParts>
  <LinksUpToDate>false</LinksUpToDate>
  <CharactersWithSpaces>58797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2019-05-12T05:24:00Z</dcterms:created>
  <dcterms:modified xsi:type="dcterms:W3CDTF">2019-05-13T15:20:00Z</dcterms:modified>
</cp:coreProperties>
</file>