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959" w:rsidRDefault="00281328" w:rsidP="008F4244">
      <w:pPr>
        <w:shd w:val="clear" w:color="auto" w:fill="FFFFFF"/>
        <w:jc w:val="center"/>
        <w:rPr>
          <w:bCs/>
          <w:color w:val="000000"/>
          <w:szCs w:val="22"/>
        </w:rPr>
      </w:pPr>
      <w:r>
        <w:rPr>
          <w:bCs/>
          <w:color w:val="000000"/>
          <w:szCs w:val="22"/>
        </w:rPr>
        <w:t>МИНИСТЕРСТВО РОССИЙСКОЙ ФЕДЕРАЦИИ ПО ДЕЛАМ</w:t>
      </w:r>
      <w:r w:rsidR="008F4244">
        <w:rPr>
          <w:bCs/>
          <w:color w:val="000000"/>
          <w:szCs w:val="22"/>
        </w:rPr>
        <w:t xml:space="preserve"> </w:t>
      </w:r>
      <w:r>
        <w:rPr>
          <w:bCs/>
          <w:color w:val="000000"/>
          <w:szCs w:val="22"/>
        </w:rPr>
        <w:t>ГРАЖДАНСКОЙ ОБОРОНЫ, ЧРЕЗВЫЧАЙНЫМ СИТУАЦИЯМ</w:t>
      </w:r>
      <w:r w:rsidR="008F4244">
        <w:rPr>
          <w:bCs/>
          <w:color w:val="000000"/>
          <w:szCs w:val="22"/>
        </w:rPr>
        <w:t xml:space="preserve"> </w:t>
      </w:r>
      <w:r>
        <w:rPr>
          <w:bCs/>
          <w:color w:val="000000"/>
          <w:szCs w:val="22"/>
        </w:rPr>
        <w:t>И ЛИКВИДАЦИИ ПОСЛЕДСТВИЙ СТИХИЙНЫХ БЕДСТВИЙ</w:t>
      </w:r>
    </w:p>
    <w:p w:rsidR="00CC4959" w:rsidRDefault="00CC4959" w:rsidP="008F4244">
      <w:pPr>
        <w:shd w:val="clear" w:color="auto" w:fill="FFFFFF"/>
        <w:jc w:val="center"/>
        <w:rPr>
          <w:szCs w:val="24"/>
        </w:rPr>
      </w:pPr>
    </w:p>
    <w:p w:rsidR="00CC4959" w:rsidRDefault="00281328" w:rsidP="008F4244">
      <w:pPr>
        <w:shd w:val="clear" w:color="auto" w:fill="FFFFFF"/>
        <w:jc w:val="center"/>
        <w:rPr>
          <w:color w:val="000000"/>
          <w:szCs w:val="22"/>
        </w:rPr>
      </w:pPr>
      <w:r>
        <w:rPr>
          <w:color w:val="000000"/>
          <w:szCs w:val="22"/>
        </w:rPr>
        <w:t>Федеральное государственное учреждение "Всероссийский ордена</w:t>
      </w:r>
      <w:r w:rsidR="008F4244">
        <w:rPr>
          <w:color w:val="000000"/>
          <w:szCs w:val="22"/>
        </w:rPr>
        <w:t xml:space="preserve"> </w:t>
      </w:r>
      <w:r>
        <w:rPr>
          <w:color w:val="000000"/>
          <w:szCs w:val="22"/>
        </w:rPr>
        <w:t>"Знак Почета" научно-исследовательский институт противопожарной обороны"</w:t>
      </w:r>
    </w:p>
    <w:p w:rsidR="00CC4959" w:rsidRDefault="00CC4959" w:rsidP="008F4244">
      <w:pPr>
        <w:shd w:val="clear" w:color="auto" w:fill="FFFFFF"/>
        <w:jc w:val="center"/>
        <w:rPr>
          <w:b/>
          <w:bCs/>
          <w:color w:val="000000"/>
          <w:szCs w:val="22"/>
        </w:rPr>
      </w:pPr>
    </w:p>
    <w:p w:rsidR="00CC4959" w:rsidRDefault="00CC4959" w:rsidP="008F4244">
      <w:pPr>
        <w:shd w:val="clear" w:color="auto" w:fill="FFFFFF"/>
        <w:jc w:val="center"/>
        <w:rPr>
          <w:b/>
          <w:bCs/>
          <w:szCs w:val="24"/>
        </w:rPr>
      </w:pPr>
    </w:p>
    <w:p w:rsidR="00CC4959" w:rsidRDefault="00281328" w:rsidP="008F4244">
      <w:pPr>
        <w:shd w:val="clear" w:color="auto" w:fill="FFFFFF"/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УНИФИКАЦИЯ ЭЛЕКТРИЧЕСКИХ СХЕМ, КОММУТАЦИОННЫХ</w:t>
      </w:r>
      <w:r w:rsidR="008F4244">
        <w:rPr>
          <w:b/>
          <w:bCs/>
          <w:color w:val="000000"/>
          <w:szCs w:val="24"/>
        </w:rPr>
        <w:t xml:space="preserve"> </w:t>
      </w:r>
      <w:r>
        <w:rPr>
          <w:b/>
          <w:bCs/>
          <w:color w:val="000000"/>
          <w:szCs w:val="24"/>
        </w:rPr>
        <w:t xml:space="preserve">И РАСПРЕДЕЛИТЕЛЬНЫХ УСТРОЙСТВ, КАБЕЛЬНОГО ХОЗЯЙСТВА ЭЛЕКТРОСИЛОВЫХ УСТАНОВОК ОСНОВНЫХ ИСТОЧНИКОВ ПИТАНИЯ </w:t>
      </w:r>
      <w:hyperlink r:id="rId5" w:history="1">
        <w:r w:rsidRPr="008F4244">
          <w:rPr>
            <w:rStyle w:val="a3"/>
            <w:b/>
            <w:bCs/>
            <w:color w:val="auto"/>
            <w:szCs w:val="24"/>
            <w:u w:val="none"/>
          </w:rPr>
          <w:t>ПОЖАРНЫХ АВТОМОБИЛЕЙ</w:t>
        </w:r>
      </w:hyperlink>
      <w:r w:rsidRPr="008F4244">
        <w:rPr>
          <w:b/>
          <w:bCs/>
          <w:szCs w:val="24"/>
        </w:rPr>
        <w:t xml:space="preserve">, ВЫПУСКАЕМЫХ РАЗЛИЧНЫМИ </w:t>
      </w:r>
      <w:r>
        <w:rPr>
          <w:b/>
          <w:bCs/>
          <w:color w:val="000000"/>
          <w:szCs w:val="24"/>
        </w:rPr>
        <w:t>ПРЕДПРИЯТИЯМИ-ИЗГОТОВИТЕЛЯМИ</w:t>
      </w:r>
    </w:p>
    <w:p w:rsidR="00CC4959" w:rsidRDefault="00CC4959" w:rsidP="008F4244">
      <w:pPr>
        <w:shd w:val="clear" w:color="auto" w:fill="FFFFFF"/>
        <w:jc w:val="center"/>
        <w:rPr>
          <w:b/>
          <w:bCs/>
          <w:szCs w:val="24"/>
        </w:rPr>
      </w:pPr>
    </w:p>
    <w:p w:rsidR="00CC4959" w:rsidRDefault="00E24EFA" w:rsidP="008F4244">
      <w:pPr>
        <w:shd w:val="clear" w:color="auto" w:fill="FFFFFF"/>
        <w:jc w:val="center"/>
        <w:rPr>
          <w:b/>
          <w:bCs/>
          <w:szCs w:val="24"/>
        </w:rPr>
      </w:pPr>
      <w:r w:rsidRPr="008F4244">
        <w:rPr>
          <w:b/>
          <w:bCs/>
          <w:color w:val="000000"/>
          <w:szCs w:val="32"/>
        </w:rPr>
        <w:t>Рекомендации</w:t>
      </w:r>
    </w:p>
    <w:p w:rsidR="00CC4959" w:rsidRDefault="00CC4959" w:rsidP="008F4244">
      <w:pPr>
        <w:shd w:val="clear" w:color="auto" w:fill="FFFFFF"/>
        <w:jc w:val="center"/>
        <w:rPr>
          <w:b/>
          <w:bCs/>
          <w:szCs w:val="24"/>
        </w:rPr>
      </w:pPr>
    </w:p>
    <w:p w:rsidR="00CC4959" w:rsidRDefault="0028132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УДК 614.846.6</w:t>
      </w:r>
    </w:p>
    <w:p w:rsidR="00CC4959" w:rsidRDefault="00CC4959">
      <w:pPr>
        <w:shd w:val="clear" w:color="auto" w:fill="FFFFFF"/>
        <w:ind w:firstLine="284"/>
        <w:jc w:val="center"/>
        <w:rPr>
          <w:b/>
          <w:bCs/>
          <w:color w:val="000000"/>
          <w:szCs w:val="24"/>
        </w:rPr>
      </w:pPr>
    </w:p>
    <w:p w:rsidR="00CC4959" w:rsidRDefault="00CC4959">
      <w:pPr>
        <w:shd w:val="clear" w:color="auto" w:fill="FFFFFF"/>
        <w:ind w:firstLine="284"/>
        <w:jc w:val="center"/>
        <w:rPr>
          <w:b/>
          <w:bCs/>
          <w:szCs w:val="24"/>
        </w:rPr>
      </w:pPr>
    </w:p>
    <w:p w:rsidR="00CC4959" w:rsidRDefault="0028132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Разработаны ФГУ ВНИИ</w:t>
      </w:r>
      <w:bookmarkStart w:id="0" w:name="_GoBack"/>
      <w:bookmarkEnd w:id="0"/>
      <w:r>
        <w:rPr>
          <w:color w:val="000000"/>
          <w:szCs w:val="24"/>
        </w:rPr>
        <w:t>ПО МЧС России, отделом пожарных машин и агрегатов.</w:t>
      </w:r>
    </w:p>
    <w:p w:rsidR="00CC4959" w:rsidRDefault="00CC4959">
      <w:pPr>
        <w:shd w:val="clear" w:color="auto" w:fill="FFFFFF"/>
        <w:ind w:firstLine="284"/>
        <w:jc w:val="both"/>
        <w:rPr>
          <w:szCs w:val="24"/>
        </w:rPr>
      </w:pPr>
    </w:p>
    <w:p w:rsidR="00CC4959" w:rsidRDefault="0028132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Внесены и подготовлены к утверждению отделом организации приемки пожарно-технической продукции ГУГПС МЧС России.</w:t>
      </w:r>
    </w:p>
    <w:p w:rsidR="00CC4959" w:rsidRDefault="00CC4959">
      <w:pPr>
        <w:shd w:val="clear" w:color="auto" w:fill="FFFFFF"/>
        <w:ind w:firstLine="284"/>
        <w:jc w:val="both"/>
        <w:rPr>
          <w:szCs w:val="24"/>
        </w:rPr>
      </w:pPr>
    </w:p>
    <w:p w:rsidR="00CC4959" w:rsidRDefault="0028132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Утверждены ГУГПС МЧС России 23 декабря 2003 г.</w:t>
      </w:r>
    </w:p>
    <w:p w:rsidR="008F4244" w:rsidRDefault="008F4244" w:rsidP="008F4244">
      <w:pPr>
        <w:shd w:val="clear" w:color="auto" w:fill="FFFFFF"/>
        <w:ind w:firstLine="284"/>
        <w:jc w:val="center"/>
        <w:rPr>
          <w:b/>
          <w:color w:val="000000"/>
          <w:szCs w:val="24"/>
        </w:rPr>
      </w:pPr>
    </w:p>
    <w:p w:rsidR="008F4244" w:rsidRDefault="008F4244" w:rsidP="008F4244">
      <w:pPr>
        <w:shd w:val="clear" w:color="auto" w:fill="FFFFFF"/>
        <w:ind w:firstLine="284"/>
        <w:jc w:val="center"/>
        <w:rPr>
          <w:b/>
          <w:szCs w:val="24"/>
        </w:rPr>
      </w:pPr>
      <w:r>
        <w:rPr>
          <w:b/>
          <w:color w:val="000000"/>
          <w:szCs w:val="24"/>
        </w:rPr>
        <w:t>ОГЛАВЛЕНИЕ</w:t>
      </w:r>
    </w:p>
    <w:p w:rsidR="008F4244" w:rsidRDefault="008F4244" w:rsidP="008F4244">
      <w:pPr>
        <w:shd w:val="clear" w:color="auto" w:fill="FFFFFF"/>
        <w:ind w:firstLine="284"/>
        <w:jc w:val="both"/>
        <w:rPr>
          <w:color w:val="000000"/>
          <w:szCs w:val="24"/>
        </w:rPr>
      </w:pPr>
    </w:p>
    <w:p w:rsidR="008F4244" w:rsidRDefault="008F4244" w:rsidP="008F4244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1. Основные положения и определения</w:t>
      </w:r>
      <w:r>
        <w:rPr>
          <w:color w:val="000000"/>
          <w:szCs w:val="24"/>
        </w:rPr>
        <w:t>.</w:t>
      </w:r>
    </w:p>
    <w:p w:rsidR="008F4244" w:rsidRDefault="008F4244" w:rsidP="008F4244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2. Принципиальные электрические схемы ЭСУ</w:t>
      </w:r>
      <w:r>
        <w:rPr>
          <w:color w:val="000000"/>
          <w:szCs w:val="24"/>
        </w:rPr>
        <w:t>.</w:t>
      </w:r>
    </w:p>
    <w:p w:rsidR="008F4244" w:rsidRDefault="008F4244" w:rsidP="008F4244">
      <w:pPr>
        <w:shd w:val="clear" w:color="auto" w:fill="FFFFFF"/>
        <w:ind w:firstLine="567"/>
        <w:jc w:val="both"/>
        <w:rPr>
          <w:szCs w:val="24"/>
        </w:rPr>
      </w:pPr>
      <w:r>
        <w:rPr>
          <w:color w:val="000000"/>
          <w:szCs w:val="24"/>
        </w:rPr>
        <w:t>2.1. Общие требования</w:t>
      </w:r>
      <w:r>
        <w:rPr>
          <w:color w:val="000000"/>
          <w:szCs w:val="24"/>
        </w:rPr>
        <w:t>.</w:t>
      </w:r>
    </w:p>
    <w:p w:rsidR="008F4244" w:rsidRDefault="008F4244" w:rsidP="008F4244">
      <w:pPr>
        <w:shd w:val="clear" w:color="auto" w:fill="FFFFFF"/>
        <w:ind w:firstLine="567"/>
        <w:jc w:val="both"/>
        <w:rPr>
          <w:szCs w:val="24"/>
        </w:rPr>
      </w:pPr>
      <w:r>
        <w:rPr>
          <w:color w:val="000000"/>
          <w:szCs w:val="24"/>
        </w:rPr>
        <w:t>2.2. Схемы силовых цепей</w:t>
      </w:r>
      <w:r>
        <w:rPr>
          <w:color w:val="000000"/>
          <w:szCs w:val="24"/>
        </w:rPr>
        <w:t>.</w:t>
      </w:r>
    </w:p>
    <w:p w:rsidR="008F4244" w:rsidRDefault="008F4244" w:rsidP="008F4244">
      <w:pPr>
        <w:shd w:val="clear" w:color="auto" w:fill="FFFFFF"/>
        <w:ind w:firstLine="567"/>
        <w:jc w:val="both"/>
        <w:rPr>
          <w:szCs w:val="24"/>
        </w:rPr>
      </w:pPr>
      <w:r>
        <w:rPr>
          <w:color w:val="000000"/>
          <w:szCs w:val="24"/>
        </w:rPr>
        <w:t>2.3. Цепи измерения, контроля напряжения, тока нагрузки и сигнализации</w:t>
      </w:r>
      <w:r>
        <w:rPr>
          <w:color w:val="000000"/>
          <w:szCs w:val="24"/>
        </w:rPr>
        <w:t>.</w:t>
      </w:r>
    </w:p>
    <w:p w:rsidR="008F4244" w:rsidRDefault="008F4244" w:rsidP="008F4244">
      <w:pPr>
        <w:shd w:val="clear" w:color="auto" w:fill="FFFFFF"/>
        <w:ind w:firstLine="567"/>
        <w:jc w:val="both"/>
        <w:rPr>
          <w:szCs w:val="24"/>
        </w:rPr>
      </w:pPr>
      <w:r>
        <w:rPr>
          <w:color w:val="000000"/>
          <w:szCs w:val="24"/>
        </w:rPr>
        <w:t>2.4. Цепи приборов электробезопасности</w:t>
      </w:r>
      <w:r>
        <w:rPr>
          <w:color w:val="000000"/>
          <w:szCs w:val="24"/>
        </w:rPr>
        <w:t>.</w:t>
      </w:r>
    </w:p>
    <w:p w:rsidR="008F4244" w:rsidRDefault="008F4244" w:rsidP="008F4244">
      <w:pPr>
        <w:shd w:val="clear" w:color="auto" w:fill="FFFFFF"/>
        <w:ind w:firstLine="567"/>
        <w:jc w:val="both"/>
        <w:rPr>
          <w:szCs w:val="24"/>
        </w:rPr>
      </w:pPr>
      <w:r>
        <w:rPr>
          <w:color w:val="000000"/>
          <w:szCs w:val="24"/>
        </w:rPr>
        <w:t>2.5. Схемы цепей управления</w:t>
      </w:r>
      <w:r>
        <w:rPr>
          <w:color w:val="000000"/>
          <w:szCs w:val="24"/>
        </w:rPr>
        <w:t>.</w:t>
      </w:r>
    </w:p>
    <w:p w:rsidR="008F4244" w:rsidRDefault="008F4244" w:rsidP="008F4244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3. Источники электроэнергии пожарных машин</w:t>
      </w:r>
      <w:r>
        <w:rPr>
          <w:color w:val="000000"/>
          <w:szCs w:val="24"/>
        </w:rPr>
        <w:t>.</w:t>
      </w:r>
    </w:p>
    <w:p w:rsidR="008F4244" w:rsidRDefault="008F4244" w:rsidP="008F4244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4. Щиты управления работой ЭСУ</w:t>
      </w:r>
      <w:r>
        <w:rPr>
          <w:color w:val="000000"/>
          <w:szCs w:val="24"/>
        </w:rPr>
        <w:t>.</w:t>
      </w:r>
    </w:p>
    <w:p w:rsidR="008F4244" w:rsidRDefault="008F4244" w:rsidP="008F4244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5. Приемники электроэнергии</w:t>
      </w:r>
      <w:r>
        <w:rPr>
          <w:color w:val="000000"/>
          <w:szCs w:val="24"/>
        </w:rPr>
        <w:t>.</w:t>
      </w:r>
    </w:p>
    <w:p w:rsidR="008F4244" w:rsidRDefault="008F4244" w:rsidP="008F4244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 xml:space="preserve">6. </w:t>
      </w:r>
      <w:proofErr w:type="spellStart"/>
      <w:r>
        <w:rPr>
          <w:color w:val="000000"/>
          <w:szCs w:val="24"/>
        </w:rPr>
        <w:t>Разветвительные</w:t>
      </w:r>
      <w:proofErr w:type="spellEnd"/>
      <w:r>
        <w:rPr>
          <w:color w:val="000000"/>
          <w:szCs w:val="24"/>
        </w:rPr>
        <w:t xml:space="preserve"> коробки и кабельные катушки</w:t>
      </w:r>
      <w:r>
        <w:rPr>
          <w:color w:val="000000"/>
          <w:szCs w:val="24"/>
        </w:rPr>
        <w:t>.</w:t>
      </w:r>
    </w:p>
    <w:p w:rsidR="00CC4959" w:rsidRDefault="008F4244" w:rsidP="008F4244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7. Требования безопасности</w:t>
      </w:r>
      <w:r>
        <w:rPr>
          <w:color w:val="000000"/>
          <w:szCs w:val="24"/>
        </w:rPr>
        <w:t>.</w:t>
      </w:r>
    </w:p>
    <w:p w:rsidR="00CC4959" w:rsidRDefault="00CC4959">
      <w:pPr>
        <w:shd w:val="clear" w:color="auto" w:fill="FFFFFF"/>
        <w:ind w:firstLine="284"/>
        <w:jc w:val="both"/>
        <w:rPr>
          <w:szCs w:val="24"/>
        </w:rPr>
      </w:pPr>
    </w:p>
    <w:p w:rsidR="00CC4959" w:rsidRDefault="00281328">
      <w:pPr>
        <w:shd w:val="clear" w:color="auto" w:fill="FFFFFF"/>
        <w:ind w:firstLine="284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1. ОСНОВНЫЕ ПОЛОЖЕНИЯ И ОПРЕДЕЛЕНИЯ</w:t>
      </w:r>
    </w:p>
    <w:p w:rsidR="00CC4959" w:rsidRDefault="00CC4959">
      <w:pPr>
        <w:shd w:val="clear" w:color="auto" w:fill="FFFFFF"/>
        <w:ind w:firstLine="284"/>
        <w:jc w:val="center"/>
        <w:rPr>
          <w:b/>
          <w:szCs w:val="24"/>
        </w:rPr>
      </w:pP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1.1. Настоящие Рекомендации по унификации электрических схем, коммутационных и распределительных устройств, кабельного хозяйства (далее - Рекомендации) устанавливают основные нормы проектирования электросиловых установок (ЭСУ) пожарных машин мощностью от 0,5 до 40 кВт, номинальным напряжением до 400</w:t>
      </w:r>
      <w:proofErr w:type="gramStart"/>
      <w:r>
        <w:rPr>
          <w:color w:val="000000"/>
          <w:szCs w:val="24"/>
        </w:rPr>
        <w:t xml:space="preserve"> В</w:t>
      </w:r>
      <w:proofErr w:type="gramEnd"/>
      <w:r>
        <w:rPr>
          <w:color w:val="000000"/>
          <w:szCs w:val="24"/>
        </w:rPr>
        <w:t xml:space="preserve"> переменного тока частотой от 50 до 400 Гц.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proofErr w:type="gramStart"/>
      <w:r>
        <w:rPr>
          <w:color w:val="000000"/>
          <w:szCs w:val="24"/>
        </w:rPr>
        <w:t>Рекомендации распространяются на разрабатываемые и модернизируемые ЭСУ основных и специальных пожарных автомобилей и прицепов, а также переносных источников питания электроэнергией для пожарных машин (до введения соответствующих общих и специальных технических регламентов).</w:t>
      </w:r>
      <w:proofErr w:type="gramEnd"/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 xml:space="preserve">1.2. </w:t>
      </w:r>
      <w:proofErr w:type="gramStart"/>
      <w:r>
        <w:rPr>
          <w:color w:val="000000"/>
          <w:szCs w:val="24"/>
        </w:rPr>
        <w:t>Соблюдение требований настоящих Рекомендаций является обязательным для всех организаций, занимающихся разработкой и изготовлением ЭСУ основных и специальных пожарных автомобилей и прицепов, а также для подразделений Государственной противопожарной службы и пожарно-технических учебных заведений Министерства Российской Федерации по делам гражданской обороны, чрезвычайным ситуациям и ликвидации последствий стихийных бедствий.</w:t>
      </w:r>
      <w:proofErr w:type="gramEnd"/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 xml:space="preserve">1.3. Рекомендации предназначены для применения в условиях испытаний и ремонтов ЭСУ и их электрооборудования, а также для систематического обучения и проверки обслуживающего </w:t>
      </w:r>
      <w:r>
        <w:rPr>
          <w:color w:val="000000"/>
          <w:szCs w:val="24"/>
        </w:rPr>
        <w:lastRenderedPageBreak/>
        <w:t>и организующего эксплуатацию ЭСУ личного состава в объеме требований действующих правил технической эксплуатации и правил техники безопасности.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 xml:space="preserve">1.4. </w:t>
      </w:r>
      <w:proofErr w:type="gramStart"/>
      <w:r>
        <w:rPr>
          <w:color w:val="000000"/>
          <w:szCs w:val="24"/>
        </w:rPr>
        <w:t>При решении вопросов, связанных с проектированием ЭСУ, не оговоренных в настоящих Рекомендациях, следует руководствоваться "Правилами устройства электроустановок" (ПУЭ), "Правилами технической эксплуатации электроустановок потребителей" (ПТЭ), "Правилами техники безопасности при эксплуатации электроустановок потребителей" (ПТБ), "Правилами по охране труда в подразделениях ГПС МЧС России" (ПОТРО-01-2002) и "Правилами безопасности при эксплуатации электроустановок пожарных автомобилей и прицепов" (ПБ ПМ).</w:t>
      </w:r>
      <w:proofErr w:type="gramEnd"/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1.5.</w:t>
      </w:r>
      <w:r>
        <w:rPr>
          <w:b/>
          <w:color w:val="000000"/>
          <w:szCs w:val="24"/>
        </w:rPr>
        <w:t xml:space="preserve"> ЭСУ пожарных машин</w:t>
      </w:r>
      <w:r>
        <w:rPr>
          <w:bCs/>
          <w:color w:val="000000"/>
          <w:szCs w:val="24"/>
        </w:rPr>
        <w:t xml:space="preserve"> </w:t>
      </w:r>
      <w:r>
        <w:rPr>
          <w:color w:val="000000"/>
          <w:szCs w:val="24"/>
        </w:rPr>
        <w:t>называется совокупность агрегатов, аппаратов, линий и вспомогательного оборудования, предназначенного для производства, преобразования, трансформации, передачи, распределения электрической энергии и преобразования ее в другой вид энергии.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 xml:space="preserve">1.6. ЭСУ используются для оборудования пожарных автомобилей и </w:t>
      </w:r>
      <w:proofErr w:type="gramStart"/>
      <w:r>
        <w:rPr>
          <w:color w:val="000000"/>
          <w:szCs w:val="24"/>
        </w:rPr>
        <w:t>прицепов</w:t>
      </w:r>
      <w:proofErr w:type="gramEnd"/>
      <w:r>
        <w:rPr>
          <w:color w:val="000000"/>
          <w:szCs w:val="24"/>
        </w:rPr>
        <w:t xml:space="preserve"> как основного, так и специального назначения.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Оборудование ЭСУ применяется для выполнения различных работ, способствующих успешной ликвидации аварий, чрезвычайных ситуаций и пожаров: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обеспечения доступа к очагу горения и ограничения распространения пожара путем вскрытия и разборки строительных конструкций;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освещения места работы личного состава пожарных подразделений в условиях ограниченной видимости;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образования проемов и путей эвакуации при спасании людей и материальных ценностей из помещений и транспортных средств;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нормализации газовой среды в помещениях, подачи огнетушащих средств, удаления излишне пролитой воды и ряда других работ, обеспечивающих механизацию ручного труда на пожарах.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1.7. В состав ЭСУ пожарных машин входит следующее оборудование: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b/>
          <w:bCs/>
          <w:color w:val="000000"/>
          <w:szCs w:val="24"/>
        </w:rPr>
        <w:t>электростанция</w:t>
      </w:r>
      <w:r>
        <w:rPr>
          <w:color w:val="000000"/>
          <w:szCs w:val="24"/>
        </w:rPr>
        <w:t xml:space="preserve"> - автономная передвижная (переносная) установка или установка генераторная (с приводом от двигателя автомобильного шасси пожарной машины), предназначенная для производства электрической энергии с распределительным устройством;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b/>
          <w:bCs/>
          <w:color w:val="000000"/>
          <w:szCs w:val="24"/>
        </w:rPr>
        <w:t>кабельное хозяйство</w:t>
      </w:r>
      <w:r>
        <w:rPr>
          <w:color w:val="000000"/>
          <w:szCs w:val="24"/>
        </w:rPr>
        <w:t xml:space="preserve"> - кабели, соединения, кабельные катушки, </w:t>
      </w:r>
      <w:proofErr w:type="spellStart"/>
      <w:r>
        <w:rPr>
          <w:color w:val="000000"/>
          <w:szCs w:val="24"/>
        </w:rPr>
        <w:t>разветвительные</w:t>
      </w:r>
      <w:proofErr w:type="spellEnd"/>
      <w:r>
        <w:rPr>
          <w:color w:val="000000"/>
          <w:szCs w:val="24"/>
        </w:rPr>
        <w:t xml:space="preserve"> коробки;</w:t>
      </w:r>
    </w:p>
    <w:p w:rsidR="00CC4959" w:rsidRDefault="0028132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b/>
          <w:bCs/>
          <w:color w:val="000000"/>
          <w:szCs w:val="24"/>
        </w:rPr>
        <w:t>приемники электрической энергии</w:t>
      </w:r>
      <w:r>
        <w:rPr>
          <w:color w:val="000000"/>
          <w:szCs w:val="24"/>
        </w:rPr>
        <w:t xml:space="preserve"> - приборы освещения, электроинструмент и пожарное оборудование с электроприводом.</w:t>
      </w:r>
    </w:p>
    <w:p w:rsidR="00CC4959" w:rsidRDefault="00CC4959">
      <w:pPr>
        <w:shd w:val="clear" w:color="auto" w:fill="FFFFFF"/>
        <w:ind w:firstLine="284"/>
        <w:jc w:val="center"/>
        <w:rPr>
          <w:b/>
          <w:bCs/>
          <w:szCs w:val="24"/>
        </w:rPr>
      </w:pPr>
    </w:p>
    <w:p w:rsidR="00CC4959" w:rsidRDefault="00281328">
      <w:pPr>
        <w:shd w:val="clear" w:color="auto" w:fill="FFFFFF"/>
        <w:ind w:firstLine="284"/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2. ПРИНЦИПИАЛЬНЫЕ ЭЛЕКТРИЧЕСКИЕ СХЕМЫ ЭСУ</w:t>
      </w:r>
    </w:p>
    <w:p w:rsidR="00CC4959" w:rsidRDefault="00CC4959">
      <w:pPr>
        <w:shd w:val="clear" w:color="auto" w:fill="FFFFFF"/>
        <w:ind w:firstLine="284"/>
        <w:jc w:val="both"/>
        <w:rPr>
          <w:szCs w:val="24"/>
        </w:rPr>
      </w:pPr>
    </w:p>
    <w:p w:rsidR="00CC4959" w:rsidRDefault="00281328">
      <w:pPr>
        <w:shd w:val="clear" w:color="auto" w:fill="FFFFFF"/>
        <w:ind w:firstLine="284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2.1. Общие требования</w:t>
      </w:r>
    </w:p>
    <w:p w:rsidR="00CC4959" w:rsidRDefault="00CC4959">
      <w:pPr>
        <w:shd w:val="clear" w:color="auto" w:fill="FFFFFF"/>
        <w:ind w:firstLine="284"/>
        <w:jc w:val="center"/>
        <w:rPr>
          <w:b/>
          <w:szCs w:val="24"/>
        </w:rPr>
      </w:pP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2.1.1. Принципиальные схемы (далее - схемы) должны быть выполнены в соответствии с ГОСТ 2.701 и ГОСТ 2.702.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2.1.2. Маркировка цепей в схемах должна соответствовать ГОСТ 2.709.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В целях унификации и удобства в эксплуатации рекомендуется соблюдать единообразие при маркировке сходных цепей в схемах различных источников питания электроэнергией.</w:t>
      </w:r>
    </w:p>
    <w:p w:rsidR="00CC4959" w:rsidRDefault="0028132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2.1.3. Схемы ЭСУ в зависимости от функционального назначения подразделяются </w:t>
      </w:r>
      <w:proofErr w:type="gramStart"/>
      <w:r>
        <w:rPr>
          <w:color w:val="000000"/>
          <w:szCs w:val="24"/>
        </w:rPr>
        <w:t>на</w:t>
      </w:r>
      <w:proofErr w:type="gramEnd"/>
      <w:r>
        <w:rPr>
          <w:color w:val="000000"/>
          <w:szCs w:val="24"/>
        </w:rPr>
        <w:t xml:space="preserve"> следующие:</w:t>
      </w:r>
    </w:p>
    <w:p w:rsidR="00CC4959" w:rsidRDefault="0028132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схемы силовых цепей;</w:t>
      </w:r>
    </w:p>
    <w:p w:rsidR="00CC4959" w:rsidRDefault="0028132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схемы цепей управления; </w:t>
      </w:r>
    </w:p>
    <w:p w:rsidR="00CC4959" w:rsidRDefault="0028132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схемы цепей собственных нужд.</w:t>
      </w:r>
    </w:p>
    <w:p w:rsidR="00CC4959" w:rsidRDefault="00CC4959">
      <w:pPr>
        <w:shd w:val="clear" w:color="auto" w:fill="FFFFFF"/>
        <w:ind w:firstLine="284"/>
        <w:jc w:val="both"/>
        <w:rPr>
          <w:szCs w:val="24"/>
        </w:rPr>
      </w:pPr>
    </w:p>
    <w:p w:rsidR="00CC4959" w:rsidRDefault="00281328">
      <w:pPr>
        <w:shd w:val="clear" w:color="auto" w:fill="FFFFFF"/>
        <w:ind w:firstLine="284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2.2. Схемы силовых цепей</w:t>
      </w:r>
    </w:p>
    <w:p w:rsidR="00CC4959" w:rsidRDefault="00CC4959">
      <w:pPr>
        <w:shd w:val="clear" w:color="auto" w:fill="FFFFFF"/>
        <w:ind w:firstLine="284"/>
        <w:jc w:val="center"/>
        <w:rPr>
          <w:b/>
          <w:szCs w:val="24"/>
        </w:rPr>
      </w:pP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2.2.1. Разработка схем силовых цепей источников питания электроэнергией должна вестись с учетом требований, изложенных в настоящем разделе.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2.2.2. Схемы силовых цепей состоят из следующих цепей, выделенных по функциональному назначению: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цепей силовой коммутации;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цепей измерения, контроля и сигнализации;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цепей приборов электробезопасности.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 xml:space="preserve">2.2.3. Цепи силовой коммутации включают в себя совокупность элементов, обеспечивающих передачу электроэнергии от генератора к приемникам, ее коммутацию, а также защиту </w:t>
      </w:r>
      <w:r>
        <w:rPr>
          <w:color w:val="000000"/>
          <w:szCs w:val="24"/>
        </w:rPr>
        <w:lastRenderedPageBreak/>
        <w:t>генератора от коротких замыканий и недопустимых перегрузок по току.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 xml:space="preserve">Схема электропередачи ЭСУ - "изолированная" нейтраль (система </w:t>
      </w:r>
      <w:r>
        <w:rPr>
          <w:color w:val="000000"/>
          <w:szCs w:val="24"/>
          <w:lang w:val="en-US"/>
        </w:rPr>
        <w:t>IT</w:t>
      </w:r>
      <w:r>
        <w:rPr>
          <w:color w:val="000000"/>
          <w:szCs w:val="24"/>
        </w:rPr>
        <w:t>).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Нейтраль генератора должна быть изолирована от корпуса ЭСУ и земли.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В качестве коммутационных аппаратов линии генератора должны применяться автоматические выключатели или контакторы в сочетании с устройствами защиты от токов короткого замыкания и перегрузок.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В качестве коммутационных аппаратов в линии сети распределительного устройства должны применяться автоматические выключатели и контакторы.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 xml:space="preserve">Схемы ЭСУ должны разрабатываться с учетом возможности выполнения строгой сквозной </w:t>
      </w:r>
      <w:proofErr w:type="spellStart"/>
      <w:r>
        <w:rPr>
          <w:color w:val="000000"/>
          <w:szCs w:val="24"/>
        </w:rPr>
        <w:t>фазировки</w:t>
      </w:r>
      <w:proofErr w:type="spellEnd"/>
      <w:r>
        <w:rPr>
          <w:color w:val="000000"/>
          <w:szCs w:val="24"/>
        </w:rPr>
        <w:t xml:space="preserve"> от генератора до приемников электроэнергии.</w:t>
      </w:r>
    </w:p>
    <w:p w:rsidR="00CC4959" w:rsidRDefault="0028132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Сквозная </w:t>
      </w:r>
      <w:proofErr w:type="spellStart"/>
      <w:r>
        <w:rPr>
          <w:color w:val="000000"/>
          <w:szCs w:val="24"/>
        </w:rPr>
        <w:t>фазировка</w:t>
      </w:r>
      <w:proofErr w:type="spellEnd"/>
      <w:r>
        <w:rPr>
          <w:color w:val="000000"/>
          <w:szCs w:val="24"/>
        </w:rPr>
        <w:t xml:space="preserve"> токоведущих контактов штепсельного соединения типа ИЭ-9901 по отношению к розетке должна выполняться слева направо по часовой стрелке.</w:t>
      </w:r>
    </w:p>
    <w:p w:rsidR="00CC4959" w:rsidRDefault="00CC4959">
      <w:pPr>
        <w:shd w:val="clear" w:color="auto" w:fill="FFFFFF"/>
        <w:ind w:firstLine="284"/>
        <w:jc w:val="both"/>
        <w:rPr>
          <w:szCs w:val="24"/>
        </w:rPr>
      </w:pPr>
    </w:p>
    <w:p w:rsidR="00CC4959" w:rsidRDefault="00CC4959">
      <w:pPr>
        <w:shd w:val="clear" w:color="auto" w:fill="FFFFFF"/>
        <w:ind w:firstLine="284"/>
        <w:jc w:val="both"/>
        <w:rPr>
          <w:szCs w:val="24"/>
        </w:rPr>
      </w:pPr>
    </w:p>
    <w:p w:rsidR="00CC4959" w:rsidRDefault="00281328">
      <w:pPr>
        <w:shd w:val="clear" w:color="auto" w:fill="FFFFFF"/>
        <w:ind w:firstLine="284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2.3. Цепи измерения, контроля напряжения, тока нагрузки и сигнализации</w:t>
      </w:r>
    </w:p>
    <w:p w:rsidR="00CC4959" w:rsidRDefault="00CC4959">
      <w:pPr>
        <w:shd w:val="clear" w:color="auto" w:fill="FFFFFF"/>
        <w:ind w:firstLine="284"/>
        <w:jc w:val="both"/>
        <w:rPr>
          <w:szCs w:val="24"/>
        </w:rPr>
      </w:pP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2.3.1. Измерения тока, напряжения и частоты должны производиться амперметром, вольтметром и частотомером.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Измерения напряжения и частоты тока производятся до коммутационного аппарата линии генератора.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Измерение тока нагрузки производится во всех трех фазах. При симметричной нагрузке приемников электроэнергии допускается измерять ток нагрузки в одной из фаз.</w:t>
      </w:r>
    </w:p>
    <w:p w:rsidR="00CC4959" w:rsidRDefault="0028132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2.3.2. Цепи сигнализации должны обеспечивать визуальное наблюдение за наличием напряжения генератора (участок линии генератора до коммутационного аппарата) - по вольтметру, на шинах источника питания (участок линии генератора за коммутационным аппаратом) - по сигнальным лампам, включенным через понижающие трансформаторы или добавочные сопротивления.</w:t>
      </w:r>
    </w:p>
    <w:p w:rsidR="00CC4959" w:rsidRDefault="00CC4959">
      <w:pPr>
        <w:shd w:val="clear" w:color="auto" w:fill="FFFFFF"/>
        <w:ind w:firstLine="284"/>
        <w:jc w:val="both"/>
        <w:rPr>
          <w:szCs w:val="24"/>
        </w:rPr>
      </w:pPr>
    </w:p>
    <w:p w:rsidR="00CC4959" w:rsidRDefault="00281328">
      <w:pPr>
        <w:shd w:val="clear" w:color="auto" w:fill="FFFFFF"/>
        <w:ind w:firstLine="284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2.4. Цепи приборов электробезопасности</w:t>
      </w:r>
    </w:p>
    <w:p w:rsidR="00CC4959" w:rsidRDefault="00CC4959">
      <w:pPr>
        <w:shd w:val="clear" w:color="auto" w:fill="FFFFFF"/>
        <w:ind w:firstLine="284"/>
        <w:jc w:val="both"/>
        <w:rPr>
          <w:szCs w:val="24"/>
        </w:rPr>
      </w:pP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2.4.1. Для обеспечения безопасности электроустановки напряжением от 36</w:t>
      </w:r>
      <w:proofErr w:type="gramStart"/>
      <w:r>
        <w:rPr>
          <w:color w:val="000000"/>
          <w:szCs w:val="24"/>
        </w:rPr>
        <w:t xml:space="preserve"> В</w:t>
      </w:r>
      <w:proofErr w:type="gramEnd"/>
      <w:r>
        <w:rPr>
          <w:color w:val="000000"/>
          <w:szCs w:val="24"/>
        </w:rPr>
        <w:t xml:space="preserve"> и выше должны иметь на источнике электроэнергии устройство постоянного контроля сопротивления изоляции (ПКИ), а приемники электроэнергии - подключаться к источнику питания через устройства защитного отключения (УЗО).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Система обеспечения электробезопасности, состоящая из сочетания устройства ПКИ и УЗО, является основной системой обеспечения безопасности при эксплуатации электроустановок пожарных машин.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2.4.2. Все металлические корпуса оборудования ЭСУ должны иметь металлическую связь между собой и рамой этого транспортного средства.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 xml:space="preserve">2.4.3. </w:t>
      </w:r>
      <w:proofErr w:type="gramStart"/>
      <w:r>
        <w:rPr>
          <w:color w:val="000000"/>
          <w:szCs w:val="24"/>
        </w:rPr>
        <w:t>Устройство ПКИ должно контролировать сопротивление изоляции относительно земли (корпуса) всей находящейся под рабочим напряжением ЭСУ: передвижных источников электроэнергии, приемников электроэнергии, питающихся от этих источников, распределительных устройств и переносных кабельных сетей; оценивать величину сопротивления изоляции, а в необходимых случаях обеспечивать световую или звуковую сигнализацию, действующую при снижении уровня сопротивления изоляции ниже установленной величины.</w:t>
      </w:r>
      <w:proofErr w:type="gramEnd"/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Устройство ПКИ и ЭСУ следует устанавливать на источнике электроэнергии до главного коммутационного аппарата со стороны генератора.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В цепи присоединения устройства ПКИ к ЭСУ не допускается установка аппаратов, которыми она может быть разорвана.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2.4.4. УЗО, как правило, должны устанавливаться в силовых распределительных щитах и обеспечивать селективное отключение фазных проводов до ввода в розетки распределительного устройства.</w:t>
      </w:r>
    </w:p>
    <w:p w:rsidR="00CC4959" w:rsidRDefault="0028132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Для обеспечения безопасности работы личного состава УЗО должны обесточивать аварийные участки при токах утечки не более значений, приведенных в табл. 1.</w:t>
      </w:r>
    </w:p>
    <w:p w:rsidR="00CC4959" w:rsidRDefault="00CC4959">
      <w:pPr>
        <w:shd w:val="clear" w:color="auto" w:fill="FFFFFF"/>
        <w:ind w:firstLine="284"/>
        <w:jc w:val="both"/>
        <w:rPr>
          <w:szCs w:val="24"/>
        </w:rPr>
      </w:pPr>
    </w:p>
    <w:p w:rsidR="00CC4959" w:rsidRDefault="00281328">
      <w:pPr>
        <w:shd w:val="clear" w:color="auto" w:fill="FFFFFF"/>
        <w:ind w:firstLine="284"/>
        <w:jc w:val="right"/>
        <w:rPr>
          <w:i/>
          <w:color w:val="000000"/>
        </w:rPr>
      </w:pPr>
      <w:r>
        <w:rPr>
          <w:i/>
          <w:color w:val="000000"/>
        </w:rPr>
        <w:t>Таблица 1</w:t>
      </w:r>
    </w:p>
    <w:p w:rsidR="00CC4959" w:rsidRDefault="00CC4959">
      <w:pPr>
        <w:shd w:val="clear" w:color="auto" w:fill="FFFFFF"/>
        <w:ind w:firstLine="284"/>
        <w:jc w:val="both"/>
        <w:rPr>
          <w:szCs w:val="24"/>
        </w:rPr>
      </w:pPr>
    </w:p>
    <w:tbl>
      <w:tblPr>
        <w:tblW w:w="5000" w:type="pct"/>
        <w:tblInd w:w="4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33"/>
        <w:gridCol w:w="1423"/>
        <w:gridCol w:w="1423"/>
        <w:gridCol w:w="1692"/>
      </w:tblGrid>
      <w:tr w:rsidR="00CC4959">
        <w:trPr>
          <w:cantSplit/>
        </w:trPr>
        <w:tc>
          <w:tcPr>
            <w:tcW w:w="28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18"/>
              </w:rPr>
              <w:t>Параметр</w:t>
            </w:r>
          </w:p>
        </w:tc>
        <w:tc>
          <w:tcPr>
            <w:tcW w:w="33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18"/>
              </w:rPr>
              <w:t xml:space="preserve">Частота тока, </w:t>
            </w:r>
            <w:proofErr w:type="gramStart"/>
            <w:r>
              <w:rPr>
                <w:color w:val="000000"/>
                <w:szCs w:val="18"/>
              </w:rPr>
              <w:t>Гц</w:t>
            </w:r>
            <w:proofErr w:type="gramEnd"/>
          </w:p>
        </w:tc>
      </w:tr>
      <w:tr w:rsidR="00CC4959">
        <w:trPr>
          <w:cantSplit/>
        </w:trPr>
        <w:tc>
          <w:tcPr>
            <w:tcW w:w="38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CC4959">
            <w:pPr>
              <w:jc w:val="both"/>
              <w:rPr>
                <w:szCs w:val="24"/>
              </w:rPr>
            </w:pPr>
          </w:p>
          <w:p w:rsidR="00CC4959" w:rsidRDefault="00CC4959">
            <w:pPr>
              <w:jc w:val="both"/>
              <w:rPr>
                <w:szCs w:val="24"/>
              </w:rPr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400</w:t>
            </w:r>
          </w:p>
        </w:tc>
      </w:tr>
      <w:tr w:rsidR="00CC4959"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color w:val="000000"/>
              </w:rPr>
              <w:lastRenderedPageBreak/>
              <w:t>Ток утечки (чувствительность защиты) А, не более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0,05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0,015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0,015</w:t>
            </w:r>
          </w:p>
        </w:tc>
      </w:tr>
      <w:tr w:rsidR="00CC4959">
        <w:tc>
          <w:tcPr>
            <w:tcW w:w="2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color w:val="000000"/>
              </w:rPr>
              <w:t xml:space="preserve">Продолжительность отключения, </w:t>
            </w:r>
            <w:proofErr w:type="gramStart"/>
            <w:r>
              <w:rPr>
                <w:color w:val="000000"/>
              </w:rPr>
              <w:t>с</w:t>
            </w:r>
            <w:proofErr w:type="gramEnd"/>
            <w:r>
              <w:rPr>
                <w:color w:val="000000"/>
              </w:rPr>
              <w:t>, не более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0,05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0,05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0,05</w:t>
            </w:r>
          </w:p>
        </w:tc>
      </w:tr>
    </w:tbl>
    <w:p w:rsidR="00CC4959" w:rsidRDefault="00CC4959">
      <w:pPr>
        <w:shd w:val="clear" w:color="auto" w:fill="FFFFFF"/>
        <w:ind w:firstLine="284"/>
        <w:jc w:val="both"/>
        <w:rPr>
          <w:color w:val="000000"/>
          <w:szCs w:val="24"/>
        </w:rPr>
      </w:pPr>
    </w:p>
    <w:p w:rsidR="00CC4959" w:rsidRDefault="0028132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2.4.5. В схемах ЭСУ должна быть предусмотрена блокировка, исключающая возможность включения приемников электроэнергии при отключенных приборах электробезопасности.</w:t>
      </w:r>
    </w:p>
    <w:p w:rsidR="00CC4959" w:rsidRDefault="00CC4959">
      <w:pPr>
        <w:shd w:val="clear" w:color="auto" w:fill="FFFFFF"/>
        <w:ind w:firstLine="284"/>
        <w:jc w:val="both"/>
        <w:rPr>
          <w:szCs w:val="24"/>
        </w:rPr>
      </w:pPr>
    </w:p>
    <w:p w:rsidR="00CC4959" w:rsidRDefault="00281328">
      <w:pPr>
        <w:shd w:val="clear" w:color="auto" w:fill="FFFFFF"/>
        <w:ind w:firstLine="284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2.5. Схемы цепей управления</w:t>
      </w:r>
    </w:p>
    <w:p w:rsidR="00CC4959" w:rsidRDefault="00CC4959">
      <w:pPr>
        <w:shd w:val="clear" w:color="auto" w:fill="FFFFFF"/>
        <w:ind w:firstLine="284"/>
        <w:jc w:val="both"/>
        <w:rPr>
          <w:szCs w:val="24"/>
        </w:rPr>
      </w:pP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2.5.1. Схемы цепей управления включают в себя совокупность электрических цепей и элементов, обеспечивающих: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дистанционное управление и контроль режима работы генератора;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 xml:space="preserve">дистанционное управление </w:t>
      </w:r>
      <w:proofErr w:type="spellStart"/>
      <w:r>
        <w:rPr>
          <w:color w:val="000000"/>
          <w:szCs w:val="24"/>
        </w:rPr>
        <w:t>крышевыми</w:t>
      </w:r>
      <w:proofErr w:type="spellEnd"/>
      <w:r>
        <w:rPr>
          <w:color w:val="000000"/>
          <w:szCs w:val="24"/>
        </w:rPr>
        <w:t xml:space="preserve"> прожекторами и другими приемниками электроэнергии;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контроль режима работы двигателя, привода генератора ЭСУ.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2.5.2. Питание цепей управления и исполнительных устройств производится постоянным током напряжением до 24</w:t>
      </w:r>
      <w:proofErr w:type="gramStart"/>
      <w:r>
        <w:rPr>
          <w:color w:val="000000"/>
          <w:szCs w:val="24"/>
        </w:rPr>
        <w:t xml:space="preserve"> В</w:t>
      </w:r>
      <w:proofErr w:type="gramEnd"/>
      <w:r>
        <w:rPr>
          <w:color w:val="000000"/>
          <w:szCs w:val="24"/>
        </w:rPr>
        <w:t xml:space="preserve"> и переменным током напряжением до 230 В.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2.5.3. Схемы цепей собственных ну</w:t>
      </w:r>
      <w:proofErr w:type="gramStart"/>
      <w:r>
        <w:rPr>
          <w:color w:val="000000"/>
          <w:szCs w:val="24"/>
        </w:rPr>
        <w:t>жд вкл</w:t>
      </w:r>
      <w:proofErr w:type="gramEnd"/>
      <w:r>
        <w:rPr>
          <w:color w:val="000000"/>
          <w:szCs w:val="24"/>
        </w:rPr>
        <w:t>ючают в себя совокупность электрических цепей и элементов, обеспечивающих ручное и автоматическое управление вспомогательными системами.</w:t>
      </w:r>
    </w:p>
    <w:p w:rsidR="00CC4959" w:rsidRDefault="0028132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Схемы цепей собственных нужд состоят из следующих отдельных цепей: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цепей питания;</w:t>
      </w:r>
    </w:p>
    <w:p w:rsidR="00CC4959" w:rsidRDefault="0028132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цепей управления обогревом кузова;</w:t>
      </w:r>
    </w:p>
    <w:p w:rsidR="00CC4959" w:rsidRDefault="0028132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цепей освещения;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цепей подзарядки аккумуляторных батарей и др.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2.5.4. Цепи питания обеспечивают питание вспомогательных механизмов и систем собственных нужд переменным током напряжением 230 и 36</w:t>
      </w:r>
      <w:proofErr w:type="gramStart"/>
      <w:r>
        <w:rPr>
          <w:color w:val="000000"/>
          <w:szCs w:val="24"/>
        </w:rPr>
        <w:t xml:space="preserve"> В</w:t>
      </w:r>
      <w:proofErr w:type="gramEnd"/>
      <w:r>
        <w:rPr>
          <w:color w:val="000000"/>
          <w:szCs w:val="24"/>
        </w:rPr>
        <w:t>, постоянным током 12 и 24 В.</w:t>
      </w:r>
    </w:p>
    <w:p w:rsidR="00CC4959" w:rsidRDefault="0028132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Для защиты цепей собственных нужд от токов короткого замыкания и недопустимых перегрузок в цепи питания каждой системы должны устанавливаться автоматические выключатели или предохранители.</w:t>
      </w:r>
    </w:p>
    <w:p w:rsidR="00CC4959" w:rsidRDefault="00CC4959">
      <w:pPr>
        <w:shd w:val="clear" w:color="auto" w:fill="FFFFFF"/>
        <w:ind w:firstLine="284"/>
        <w:jc w:val="both"/>
        <w:rPr>
          <w:szCs w:val="24"/>
        </w:rPr>
      </w:pPr>
    </w:p>
    <w:p w:rsidR="00CC4959" w:rsidRDefault="00281328">
      <w:pPr>
        <w:shd w:val="clear" w:color="auto" w:fill="FFFFFF"/>
        <w:ind w:firstLine="284"/>
        <w:jc w:val="center"/>
        <w:rPr>
          <w:b/>
          <w:szCs w:val="24"/>
        </w:rPr>
      </w:pPr>
      <w:r>
        <w:rPr>
          <w:b/>
          <w:color w:val="000000"/>
          <w:szCs w:val="24"/>
        </w:rPr>
        <w:t>3. ИСТОЧНИКИ ЭЛЕКТРОЭНЕРГИИ ПОЖАРНЫХ МАШИН</w:t>
      </w:r>
    </w:p>
    <w:p w:rsidR="00CC4959" w:rsidRDefault="00CC4959">
      <w:pPr>
        <w:shd w:val="clear" w:color="auto" w:fill="FFFFFF"/>
        <w:ind w:firstLine="284"/>
        <w:jc w:val="center"/>
        <w:rPr>
          <w:b/>
          <w:color w:val="000000"/>
          <w:szCs w:val="24"/>
        </w:rPr>
      </w:pP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 xml:space="preserve">3.1. </w:t>
      </w:r>
      <w:proofErr w:type="gramStart"/>
      <w:r>
        <w:rPr>
          <w:color w:val="000000"/>
          <w:szCs w:val="24"/>
        </w:rPr>
        <w:t>В качестве основных источников электроэнергии ЭСУ пожарных машин и перевозимых силовых электроагрегатов применяются генераторы синхронные трехфазного тока типа ЕСС5 и АБ с приводом от двигателей шасси пожарных машин и автономных двигателей внутреннего сгорания, гидравлических турбин или других источников механической энергии, имеющих соответствующую мощность, частоту и направление вращения приводного вала.</w:t>
      </w:r>
      <w:proofErr w:type="gramEnd"/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При разработке силовых электроагрегатов следует руководствоваться указаниями заводов-изготовителей по монтажу и эксплуатации генераторов.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3.2. Генератор с двигателем или ведомым валом дополнительной трансмиссии необходимо соединять посредством упругой, упругодемпфирующей муфты или ременной передачи.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3.3. Генераторы на основных и специальных пожарных машинах, как правило, устанавливаются в специальных отсеках или нишах. При размещении генераторов в салонах пожарных машин они должны быть закрыты изолирующими кожухами.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Отсеки генераторов необходимо оборудовать вентиляцией.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Температура отдельных частей генератора при работе не должна превышать температуру окружающей среды 40</w:t>
      </w:r>
      <w:proofErr w:type="gramStart"/>
      <w:r>
        <w:rPr>
          <w:color w:val="000000"/>
          <w:szCs w:val="24"/>
        </w:rPr>
        <w:t xml:space="preserve"> °С</w:t>
      </w:r>
      <w:proofErr w:type="gramEnd"/>
      <w:r>
        <w:rPr>
          <w:color w:val="000000"/>
          <w:szCs w:val="24"/>
        </w:rPr>
        <w:t>: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сердечник статора и обмотка - более чем на 60</w:t>
      </w:r>
      <w:proofErr w:type="gramStart"/>
      <w:r>
        <w:rPr>
          <w:color w:val="000000"/>
          <w:szCs w:val="24"/>
        </w:rPr>
        <w:t xml:space="preserve"> °С</w:t>
      </w:r>
      <w:proofErr w:type="gramEnd"/>
      <w:r>
        <w:rPr>
          <w:color w:val="000000"/>
          <w:szCs w:val="24"/>
        </w:rPr>
        <w:t>;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подшипниковые узлы - более чем на 45 °С.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В ЭСУ мощностью 12 кВт и более рекомендуется предусматривать автоматическое регулирование частоты вращения ротора генератора.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При изменении нагрузки от 0 до номинального значения изменение частоты вращения ротора генератора допускается в пределах ± 5% от заданного режима. Регуляторами, как правило, оборудуются двигатели привода генератора.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3.4. Корпус генератора должен иметь металлическую связь с шасси пожарной машины, рамой ЭСУ.</w:t>
      </w:r>
    </w:p>
    <w:p w:rsidR="00CC4959" w:rsidRDefault="0028132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3.5. Подключение генератора к щиту управления должно, как правило, осуществляться кабелем шланговым, состоящим из медных жил с резиновой изоляцией и защищенным </w:t>
      </w:r>
      <w:proofErr w:type="spellStart"/>
      <w:r>
        <w:rPr>
          <w:color w:val="000000"/>
          <w:szCs w:val="24"/>
        </w:rPr>
        <w:lastRenderedPageBreak/>
        <w:t>металлорукавом</w:t>
      </w:r>
      <w:proofErr w:type="spellEnd"/>
      <w:r>
        <w:rPr>
          <w:color w:val="000000"/>
          <w:szCs w:val="24"/>
        </w:rPr>
        <w:t>.</w:t>
      </w:r>
    </w:p>
    <w:p w:rsidR="00CC4959" w:rsidRDefault="00CC4959">
      <w:pPr>
        <w:shd w:val="clear" w:color="auto" w:fill="FFFFFF"/>
        <w:ind w:firstLine="284"/>
        <w:jc w:val="both"/>
        <w:rPr>
          <w:szCs w:val="24"/>
        </w:rPr>
      </w:pPr>
    </w:p>
    <w:p w:rsidR="00CC4959" w:rsidRDefault="00281328">
      <w:pPr>
        <w:shd w:val="clear" w:color="auto" w:fill="FFFFFF"/>
        <w:ind w:firstLine="284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4. ЩИТЫ УПРАВЛЕНИЯ РАБОТОЙ ЭСУ</w:t>
      </w:r>
    </w:p>
    <w:p w:rsidR="00CC4959" w:rsidRDefault="00CC4959">
      <w:pPr>
        <w:shd w:val="clear" w:color="auto" w:fill="FFFFFF"/>
        <w:ind w:firstLine="284"/>
        <w:jc w:val="center"/>
        <w:rPr>
          <w:b/>
          <w:szCs w:val="24"/>
        </w:rPr>
      </w:pP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4.1. Щиты управления работой ЭСУ по их функциональному назначению подразделяются на следующие виды: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щит управления работой двигателя привода генератора;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щит силовой распределительный;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щит приборов дистанционного контроля работы ЭСУ.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На щитах управления размещаются приборы контроля и измерения, органы управления, распределительные устройства, средства индикации и графической информации.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4.2. Щит управления работой двигателя (УД) привода генератора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В состав щита УД входят: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приборы контроля режима двигателя, частоты вращения вала привода, температуры жидкости в системе охлаждения, давления масла и другие приборы в зависимости от типа привода;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органы управления работой сцепления, регуляторы частоты вращения коленчатого вала, включения коробки отбора мощности и другие в зависимости от конструктивного исполнения ЭСУ;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средства индикации и графической информации применительно к типу привода и конструктивному исполнению ЭСУ.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Как правило, при создании ЭСУ на шасси автомобиля с приводом генератора тока от его двигателя для управления используются штатные органы управления, приборы контроля и средства индикации.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4.3. Щит силовой распределительный (</w:t>
      </w:r>
      <w:proofErr w:type="gramStart"/>
      <w:r>
        <w:rPr>
          <w:color w:val="000000"/>
          <w:szCs w:val="24"/>
        </w:rPr>
        <w:t>СР</w:t>
      </w:r>
      <w:proofErr w:type="gramEnd"/>
      <w:r>
        <w:rPr>
          <w:color w:val="000000"/>
          <w:szCs w:val="24"/>
        </w:rPr>
        <w:t>)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 xml:space="preserve">В состав щита </w:t>
      </w:r>
      <w:proofErr w:type="gramStart"/>
      <w:r>
        <w:rPr>
          <w:color w:val="000000"/>
          <w:szCs w:val="24"/>
        </w:rPr>
        <w:t>СР</w:t>
      </w:r>
      <w:proofErr w:type="gramEnd"/>
      <w:r>
        <w:rPr>
          <w:color w:val="000000"/>
          <w:szCs w:val="24"/>
        </w:rPr>
        <w:t xml:space="preserve"> входят: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приборы измерения контроля сигнализации;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органы управления работой генератора;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органы управления коммутацией электрической энергии;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приборы электробезопасности;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распределительные устройства;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средства индикации и графической информации.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4.3.1. Визуальное наблюдение за наличием напряжения, изменением величины тока, напряжения и частоты производится амперметром, вольтметром и частотомером.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В качестве органов управления работой генератора применяются кнопки "Возбуждение" и регуляторы напряжения.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В качестве коммутационных аппаратов применяются выключатели, переключатели или контакторы в сочетании с устройствами защиты от токов короткого замыкания и перегрузки.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4.3.2. Для обеспечения электробезопасности личного состава, обслуживающего ЭСУ, щиты оборудуются приборами постоянного контроля сопротивления изоляции визуального наблюдения и защитно-отключающими устройствами, позволяющими работать с электросиловым оборудованием без устройства защитного заземления.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4.3.3. Распределительные устройства состоят из розеток отбора электроэнергии, коммутационных устройств и световой индикации о наличии напряжения на розетках.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4.3.4. Средства индикации и графической информации обеспечивают быструю ориентацию и более точную информацию о приборах и органах управления работой ЭСУ.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4.4. Щит приборов для контроля дистанционного (КД) работы ЭСУ</w:t>
      </w:r>
    </w:p>
    <w:p w:rsidR="00CC4959" w:rsidRDefault="0028132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В состав щита КД, как правило, входят:</w:t>
      </w:r>
    </w:p>
    <w:p w:rsidR="00CC4959" w:rsidRDefault="0028132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приборы измерения напряжения и частоты тока;</w:t>
      </w:r>
    </w:p>
    <w:p w:rsidR="00CC4959" w:rsidRDefault="0028132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органы управления возбуждением генератора и работой стационарных приемников электроэнергии;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приборы контроля работы системы защиты.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4.5. Общие требования, предъявляемые к щитам управления: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удобство работы и обслуживания;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применение оптимальных средств индикации;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максимальное использование стандартных узлов, приборов, органов управления и их унификация;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надежность и безопасность работы;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минимальные энергоемкость, размеры и масса;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возможность компактного размещения;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lastRenderedPageBreak/>
        <w:t>технологичность конструкции и достаточный уровень ремонтопригодности;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эстетические требования.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4.6. Приборы и органы управления работой ЭСУ размещаются на горизонтальных щитах (панелях).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 xml:space="preserve">4.7. Форма щита (панели), его длина и высота должны быть такими, чтобы оператор со своего места </w:t>
      </w:r>
      <w:proofErr w:type="gramStart"/>
      <w:r>
        <w:rPr>
          <w:color w:val="000000"/>
          <w:szCs w:val="24"/>
        </w:rPr>
        <w:t>мог видеть приборы и чтобы ему со своего места было</w:t>
      </w:r>
      <w:proofErr w:type="gramEnd"/>
      <w:r>
        <w:rPr>
          <w:color w:val="000000"/>
          <w:szCs w:val="24"/>
        </w:rPr>
        <w:t xml:space="preserve"> удобно производить необходимые операции управления: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угловая ширина управления - не более 90°;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угловая высота - не более 90°, в том числе 35° от плоскости уровня глаз вверх и не более 50° от этой плоскости вниз.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4.8. Основной активной зоной воздействия в системе "Оператор - ЭСУ" является оперативная лицевая панель щита управления.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При компоновке панелей рекомендуется начинать с анализа работы оператора и эргономические требования направлять на оптимизацию процесса работы, упрощение алгоритма деятельности, к снижению психофизиологических нагрузок.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4.9. При компоновке приборов и органов управления должна быть видна взаимная функциональная связь между ними. Они должны располагаться в соответствии с последовательностью их использования для управления работой ЭСУ.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Порядок расположения отдельных органов управления внутри функциональной группы должен совпадать с последовательностью выполнения рабочих операций.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При распределении органов управления и индикаторов на щитах управления рекомендуется использовать функциональное разделение, осуществляемое расположением в пространстве (зонирование), разделением по форме (кодирование формой), разделением по цвету (кодирование цветом).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4.10. Внешние установочные элементы должны монтироваться по возможности без видимого крепления.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4.11. Щиты управления должны иметь с лицевой стороны надписи, указывающие их назначение, а установленные на них устройства - надписи или маркировку согласно схемам.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4.12. Проводники, присоединенные к рядам зажимов, а также к зажимам аппаратов и приборов, должны иметь маркировку, соответствующую схемам.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4.13. Кабель (провода) ввода электроэнергии в щит управления должен иметь маркировку на концах. Концы свободных жил кабеля должны быть изолированы.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4.14. Контрольные и измерительные приборы щитов управления работой ЭСУ должны быть класса точности не ниже 2,5.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Пределы измерений установленных приборов должны выбираться с учетом возможных длительных отклонений измерительных параметров от номинальной величины.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На измерительных приборах рекомендуется отмечать красной чертой (зоной) предельно допустимые значения измерений величины.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4.15. Требования, предъявляемые к органам управления: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расположение в оптимальных зонах моторного поля;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хорошие опознавательные знаки;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удобство захвата, нажима или поворота;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незначительные диапазоны перемещения в процессе работы;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согласованность направления движения рычага или рукоятки с направлением изменения регулируемого параметра.</w:t>
      </w:r>
    </w:p>
    <w:p w:rsidR="00CC4959" w:rsidRDefault="00281328">
      <w:pPr>
        <w:shd w:val="clear" w:color="auto" w:fill="FFFFFF"/>
        <w:ind w:firstLine="284"/>
        <w:jc w:val="both"/>
        <w:rPr>
          <w:i/>
          <w:szCs w:val="24"/>
        </w:rPr>
      </w:pPr>
      <w:r>
        <w:rPr>
          <w:i/>
          <w:color w:val="000000"/>
          <w:szCs w:val="24"/>
        </w:rPr>
        <w:t>Например: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proofErr w:type="gramStart"/>
      <w:r>
        <w:rPr>
          <w:color w:val="000000"/>
          <w:szCs w:val="24"/>
        </w:rPr>
        <w:t>движения рукоятки "от себя", "вверх", "вправо" должны вызывать "включение", "пуск", "увеличение параметра";</w:t>
      </w:r>
      <w:proofErr w:type="gramEnd"/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proofErr w:type="gramStart"/>
      <w:r>
        <w:rPr>
          <w:color w:val="000000"/>
          <w:szCs w:val="24"/>
        </w:rPr>
        <w:t>движения рукоятки "к себе", "вниз", "влево" должны вызывать "выключение", "останов", "уменьшение параметра";</w:t>
      </w:r>
      <w:proofErr w:type="gramEnd"/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нажатие верхних, передвижных, правых кнопок должно вызывать "включение", "пуск", "увеличение";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нажатие нижних, задних, левых кнопок должно вызывать "отключение", "останов", "уменьшение".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 xml:space="preserve">4.16. К основным типам органов управления щитов </w:t>
      </w:r>
      <w:r>
        <w:rPr>
          <w:color w:val="000000"/>
          <w:szCs w:val="24"/>
          <w:lang w:val="en-US"/>
        </w:rPr>
        <w:t>PC</w:t>
      </w:r>
      <w:r>
        <w:rPr>
          <w:color w:val="000000"/>
          <w:szCs w:val="24"/>
        </w:rPr>
        <w:t xml:space="preserve"> и КД относятся переключатели и выключатели (кнопочные, автоматические, тумблеры и др.).</w:t>
      </w:r>
    </w:p>
    <w:p w:rsidR="00CC4959" w:rsidRDefault="0028132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Выбор органов управления рекомендуется производить с учетом их функционального назначения, руководствуясь данными табл. 2.</w:t>
      </w:r>
    </w:p>
    <w:p w:rsidR="00CC4959" w:rsidRDefault="00CC4959">
      <w:pPr>
        <w:shd w:val="clear" w:color="auto" w:fill="FFFFFF"/>
        <w:ind w:firstLine="284"/>
        <w:jc w:val="both"/>
        <w:rPr>
          <w:szCs w:val="24"/>
        </w:rPr>
      </w:pPr>
    </w:p>
    <w:p w:rsidR="00CC4959" w:rsidRDefault="00281328">
      <w:pPr>
        <w:shd w:val="clear" w:color="auto" w:fill="FFFFFF"/>
        <w:ind w:firstLine="284"/>
        <w:jc w:val="right"/>
        <w:rPr>
          <w:i/>
          <w:color w:val="000000"/>
          <w:szCs w:val="22"/>
        </w:rPr>
      </w:pPr>
      <w:r>
        <w:rPr>
          <w:i/>
          <w:color w:val="000000"/>
          <w:szCs w:val="22"/>
        </w:rPr>
        <w:t>Таблица 2</w:t>
      </w:r>
    </w:p>
    <w:p w:rsidR="00CC4959" w:rsidRDefault="00CC4959">
      <w:pPr>
        <w:shd w:val="clear" w:color="auto" w:fill="FFFFFF"/>
        <w:ind w:firstLine="284"/>
        <w:jc w:val="right"/>
        <w:rPr>
          <w:i/>
          <w:color w:val="000000"/>
          <w:szCs w:val="22"/>
        </w:rPr>
      </w:pPr>
    </w:p>
    <w:p w:rsidR="00CC4959" w:rsidRDefault="00281328">
      <w:pPr>
        <w:shd w:val="clear" w:color="auto" w:fill="FFFFFF"/>
        <w:ind w:firstLine="284"/>
        <w:jc w:val="center"/>
        <w:rPr>
          <w:b/>
          <w:color w:val="000000"/>
          <w:szCs w:val="18"/>
        </w:rPr>
      </w:pPr>
      <w:r>
        <w:rPr>
          <w:b/>
          <w:color w:val="000000"/>
          <w:szCs w:val="18"/>
        </w:rPr>
        <w:t>Рекомендуемые виды органов управления</w:t>
      </w:r>
    </w:p>
    <w:p w:rsidR="00CC4959" w:rsidRDefault="00CC4959">
      <w:pPr>
        <w:shd w:val="clear" w:color="auto" w:fill="FFFFFF"/>
        <w:ind w:firstLine="284"/>
        <w:jc w:val="center"/>
        <w:rPr>
          <w:b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70"/>
        <w:gridCol w:w="3123"/>
        <w:gridCol w:w="2578"/>
      </w:tblGrid>
      <w:tr w:rsidR="00CC4959"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Функция</w:t>
            </w:r>
          </w:p>
        </w:tc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Применение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Вид органа управления</w:t>
            </w:r>
          </w:p>
        </w:tc>
      </w:tr>
      <w:tr w:rsidR="00CC4959"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color w:val="000000"/>
              </w:rPr>
              <w:t>Выбор между двумя возможными решениями</w:t>
            </w:r>
          </w:p>
        </w:tc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color w:val="000000"/>
              </w:rPr>
              <w:t>Пуск, остановка, последовательность включения, отключения, подача срочного сигнала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color w:val="000000"/>
              </w:rPr>
              <w:t>Тумблер, кнопка, автоматический выключатель</w:t>
            </w:r>
          </w:p>
        </w:tc>
      </w:tr>
      <w:tr w:rsidR="00CC4959"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color w:val="000000"/>
              </w:rPr>
              <w:t>Выбор между тремя возможными решениями</w:t>
            </w:r>
          </w:p>
        </w:tc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color w:val="000000"/>
              </w:rPr>
              <w:t>Задание режимов работы, выбор диапазона, канала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color w:val="000000"/>
              </w:rPr>
              <w:t>Переключатели с указанием фиксированных положений</w:t>
            </w:r>
          </w:p>
        </w:tc>
      </w:tr>
      <w:tr w:rsidR="00CC4959"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color w:val="000000"/>
              </w:rPr>
              <w:t>Грубое регулирование, установка величины параметра</w:t>
            </w:r>
          </w:p>
        </w:tc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color w:val="000000"/>
              </w:rPr>
              <w:t>Изменение характеристики канала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color w:val="000000"/>
              </w:rPr>
              <w:t>Ручка вращения</w:t>
            </w:r>
          </w:p>
        </w:tc>
      </w:tr>
    </w:tbl>
    <w:p w:rsidR="00CC4959" w:rsidRDefault="00CC4959">
      <w:pPr>
        <w:shd w:val="clear" w:color="auto" w:fill="FFFFFF"/>
        <w:ind w:firstLine="284"/>
        <w:jc w:val="both"/>
        <w:rPr>
          <w:color w:val="000000"/>
          <w:szCs w:val="24"/>
        </w:rPr>
      </w:pP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4.17. Кнопочные и клавишные переключатели необходимо использовать для частого и быстрого переключения.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Тумблер следует применять для простых коммутаций.</w:t>
      </w:r>
    </w:p>
    <w:p w:rsidR="00CC4959" w:rsidRDefault="0028132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4.18. Требования к кнопочным органам управления: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диаметр кнопок от 1,2 до 30 мм;</w:t>
      </w:r>
    </w:p>
    <w:p w:rsidR="00CC4959" w:rsidRDefault="0028132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усилие нажатия от 1,5 до 6 Н;</w:t>
      </w:r>
    </w:p>
    <w:p w:rsidR="00CC4959" w:rsidRDefault="0028132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глубина утопления кнопки от 3 до 5 мм;</w:t>
      </w:r>
    </w:p>
    <w:p w:rsidR="00CC4959" w:rsidRDefault="0028132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наиболее удобная плоскость кнопки - вогнутая;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расстояние между соседними кнопками должно быть не менее 30 мм.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4.19. Требования к тумблерам: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расположение тумблеров должно быть таким, чтобы их движение было в плоскости взгляда или перпендикулярно к ней;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при групповом размещении тумблеров рекомендуется располагать их горизонтальными, а не вертикальными рядами;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proofErr w:type="gramStart"/>
      <w:r>
        <w:rPr>
          <w:color w:val="000000"/>
          <w:szCs w:val="24"/>
        </w:rPr>
        <w:t>при горизонтальном расположении поворот вправо означает "включение", "запуск", "больше", поворот влево - "отключение", "стоп", "меньше";</w:t>
      </w:r>
      <w:proofErr w:type="gramEnd"/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расстояние между соседними тумблерами должно быть не менее 30 мм.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4.20. Органы управления следует располагать следующим образом: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под соответствующими индикаторами, а не над ними; примерно в одинаковом положении с соответствующими им индикаторами.</w:t>
      </w:r>
    </w:p>
    <w:p w:rsidR="00CC4959" w:rsidRDefault="0028132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4.21. Выбор типа индикатора рекомендуется производить, руководствуясь данными табл. 3.</w:t>
      </w:r>
    </w:p>
    <w:p w:rsidR="00CC4959" w:rsidRDefault="00CC4959">
      <w:pPr>
        <w:shd w:val="clear" w:color="auto" w:fill="FFFFFF"/>
        <w:ind w:firstLine="284"/>
        <w:jc w:val="both"/>
        <w:rPr>
          <w:szCs w:val="24"/>
        </w:rPr>
      </w:pPr>
    </w:p>
    <w:p w:rsidR="00CC4959" w:rsidRDefault="00281328">
      <w:pPr>
        <w:shd w:val="clear" w:color="auto" w:fill="FFFFFF"/>
        <w:ind w:firstLine="284"/>
        <w:jc w:val="right"/>
        <w:rPr>
          <w:i/>
          <w:color w:val="000000"/>
        </w:rPr>
      </w:pPr>
      <w:r>
        <w:rPr>
          <w:i/>
          <w:color w:val="000000"/>
        </w:rPr>
        <w:t>Таблица 3</w:t>
      </w:r>
    </w:p>
    <w:p w:rsidR="00CC4959" w:rsidRDefault="00CC4959">
      <w:pPr>
        <w:shd w:val="clear" w:color="auto" w:fill="FFFFFF"/>
        <w:ind w:firstLine="284"/>
        <w:jc w:val="center"/>
        <w:rPr>
          <w:b/>
          <w:i/>
          <w:szCs w:val="24"/>
        </w:rPr>
      </w:pPr>
    </w:p>
    <w:p w:rsidR="00CC4959" w:rsidRDefault="00281328">
      <w:pPr>
        <w:shd w:val="clear" w:color="auto" w:fill="FFFFFF"/>
        <w:ind w:firstLine="284"/>
        <w:jc w:val="center"/>
        <w:rPr>
          <w:b/>
          <w:color w:val="000000"/>
          <w:szCs w:val="18"/>
        </w:rPr>
      </w:pPr>
      <w:r>
        <w:rPr>
          <w:b/>
          <w:color w:val="000000"/>
          <w:szCs w:val="18"/>
        </w:rPr>
        <w:t>Рекомендуемое цветовое кодирование информационных сообщений</w:t>
      </w:r>
    </w:p>
    <w:p w:rsidR="00CC4959" w:rsidRDefault="00281328">
      <w:pPr>
        <w:shd w:val="clear" w:color="auto" w:fill="FFFFFF"/>
        <w:ind w:firstLine="284"/>
        <w:jc w:val="center"/>
        <w:rPr>
          <w:b/>
          <w:color w:val="000000"/>
          <w:szCs w:val="18"/>
        </w:rPr>
      </w:pPr>
      <w:r>
        <w:rPr>
          <w:b/>
          <w:color w:val="000000"/>
          <w:szCs w:val="18"/>
        </w:rPr>
        <w:t>с помощью световых индикаторов</w:t>
      </w:r>
    </w:p>
    <w:p w:rsidR="00CC4959" w:rsidRDefault="00CC4959">
      <w:pPr>
        <w:shd w:val="clear" w:color="auto" w:fill="FFFFFF"/>
        <w:ind w:firstLine="284"/>
        <w:jc w:val="center"/>
        <w:rPr>
          <w:b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98"/>
        <w:gridCol w:w="3473"/>
      </w:tblGrid>
      <w:tr w:rsidR="00CC4959"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18"/>
              </w:rPr>
              <w:t>Тип информационных сообщений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18"/>
              </w:rPr>
              <w:t>Цвет индикатора</w:t>
            </w:r>
          </w:p>
        </w:tc>
      </w:tr>
      <w:tr w:rsidR="00CC4959"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color w:val="000000"/>
              </w:rPr>
              <w:t>Тревога, наступление аварийной ситуации, снижение сопротивления изоляции до критической величины, прекращение подачи электроэнергии, срабатывание защиты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color w:val="000000"/>
              </w:rPr>
              <w:t>Красный</w:t>
            </w:r>
          </w:p>
        </w:tc>
      </w:tr>
      <w:tr w:rsidR="00CC4959"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color w:val="000000"/>
              </w:rPr>
              <w:t>Сообщение о необходимости принятия срочных мер, предусмотренных руководством по эксплуатации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color w:val="000000"/>
              </w:rPr>
              <w:t>Рекомендуется использовать индикатор с мигающим свечением, частота от 0,1 до 1 Гц</w:t>
            </w:r>
          </w:p>
        </w:tc>
      </w:tr>
      <w:tr w:rsidR="00CC4959"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color w:val="000000"/>
              </w:rPr>
              <w:t>Изменение режима работы, предупреждение, внимание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color w:val="000000"/>
              </w:rPr>
              <w:t>Желтый</w:t>
            </w:r>
          </w:p>
        </w:tc>
      </w:tr>
      <w:tr w:rsidR="00CC4959"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color w:val="000000"/>
              </w:rPr>
              <w:t>Включение, работа, общая информация</w:t>
            </w:r>
          </w:p>
        </w:tc>
        <w:tc>
          <w:tcPr>
            <w:tcW w:w="2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color w:val="000000"/>
              </w:rPr>
              <w:t>Зеленый (белый)</w:t>
            </w:r>
          </w:p>
        </w:tc>
      </w:tr>
    </w:tbl>
    <w:p w:rsidR="00CC4959" w:rsidRDefault="00CC4959">
      <w:pPr>
        <w:shd w:val="clear" w:color="auto" w:fill="FFFFFF"/>
        <w:ind w:firstLine="284"/>
        <w:jc w:val="both"/>
        <w:rPr>
          <w:color w:val="000000"/>
          <w:szCs w:val="24"/>
        </w:rPr>
      </w:pP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4.22. Средства графической информации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4.22.1. Количество надписей должно быть минимально необходимым для обеспечения быстрой фиксации и получения точной информации.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Надписи и надписи-знаки должны быть выполнены в соответствии с нормативно-технической документацией.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Все надписи следует располагать по горизонтали, чтобы их можно было легко читать.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 xml:space="preserve">4.22.2. Надписи не должны затруднять восприятие других видов информации. Как правило, </w:t>
      </w:r>
      <w:r>
        <w:rPr>
          <w:color w:val="000000"/>
          <w:szCs w:val="24"/>
        </w:rPr>
        <w:lastRenderedPageBreak/>
        <w:t>надписи следует размещать выше органов управления и индикаторов, к которым они относятся. На панели, находящейся выше уровня глаз, надписи для лучшей видимости можно располагать ниже.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4.22.3. В цветовом отношении щиты управления следует выполнять в малонасыщенных тонах.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Цвет панелей должен быть светлее и менее насыщенным по сравнению с цветом корпуса. Для окраски следует применять эмали с рельефной или матовой фактурой поверхности.</w:t>
      </w:r>
    </w:p>
    <w:p w:rsidR="00CC4959" w:rsidRDefault="0028132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4.23. Элементы для отбора мощности распределительных устройств, как правило, должны соответствовать значениям, приведенным в табл. 4.</w:t>
      </w:r>
    </w:p>
    <w:p w:rsidR="00CC4959" w:rsidRDefault="00CC4959">
      <w:pPr>
        <w:shd w:val="clear" w:color="auto" w:fill="FFFFFF"/>
        <w:ind w:firstLine="284"/>
        <w:jc w:val="both"/>
        <w:rPr>
          <w:szCs w:val="24"/>
        </w:rPr>
      </w:pPr>
    </w:p>
    <w:p w:rsidR="00CC4959" w:rsidRDefault="00281328">
      <w:pPr>
        <w:shd w:val="clear" w:color="auto" w:fill="FFFFFF"/>
        <w:ind w:firstLine="284"/>
        <w:jc w:val="right"/>
        <w:rPr>
          <w:i/>
          <w:color w:val="000000"/>
          <w:szCs w:val="22"/>
        </w:rPr>
      </w:pPr>
      <w:r>
        <w:rPr>
          <w:i/>
          <w:color w:val="000000"/>
          <w:szCs w:val="22"/>
        </w:rPr>
        <w:br w:type="page"/>
      </w:r>
      <w:r>
        <w:rPr>
          <w:i/>
          <w:color w:val="000000"/>
          <w:szCs w:val="22"/>
        </w:rPr>
        <w:lastRenderedPageBreak/>
        <w:t>Таблица 4</w:t>
      </w:r>
    </w:p>
    <w:p w:rsidR="00CC4959" w:rsidRDefault="00CC4959">
      <w:pPr>
        <w:shd w:val="clear" w:color="auto" w:fill="FFFFFF"/>
        <w:ind w:firstLine="284"/>
        <w:jc w:val="both"/>
        <w:rPr>
          <w:bCs/>
          <w:color w:val="000000"/>
          <w:szCs w:val="18"/>
        </w:rPr>
      </w:pPr>
    </w:p>
    <w:p w:rsidR="00CC4959" w:rsidRDefault="00281328">
      <w:pPr>
        <w:shd w:val="clear" w:color="auto" w:fill="FFFFFF"/>
        <w:ind w:left="720" w:hanging="436"/>
        <w:jc w:val="center"/>
        <w:rPr>
          <w:b/>
          <w:color w:val="000000"/>
          <w:szCs w:val="18"/>
        </w:rPr>
      </w:pPr>
      <w:r>
        <w:rPr>
          <w:b/>
          <w:color w:val="000000"/>
          <w:szCs w:val="18"/>
        </w:rPr>
        <w:t>Элементы отбора мощности</w:t>
      </w:r>
    </w:p>
    <w:p w:rsidR="00CC4959" w:rsidRDefault="00CC4959">
      <w:pPr>
        <w:shd w:val="clear" w:color="auto" w:fill="FFFFFF"/>
        <w:ind w:left="720" w:hanging="436"/>
        <w:jc w:val="both"/>
        <w:rPr>
          <w:b/>
          <w:szCs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43"/>
        <w:gridCol w:w="1692"/>
        <w:gridCol w:w="2414"/>
        <w:gridCol w:w="2322"/>
      </w:tblGrid>
      <w:tr w:rsidR="00CC4959">
        <w:trPr>
          <w:cantSplit/>
        </w:trPr>
        <w:tc>
          <w:tcPr>
            <w:tcW w:w="14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18"/>
              </w:rPr>
              <w:t>Максимальная передаваемая мощность, кВт</w:t>
            </w:r>
          </w:p>
        </w:tc>
        <w:tc>
          <w:tcPr>
            <w:tcW w:w="12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18"/>
              </w:rPr>
              <w:t xml:space="preserve">Номинальное напряжение, </w:t>
            </w:r>
            <w:proofErr w:type="gramStart"/>
            <w:r>
              <w:rPr>
                <w:color w:val="000000"/>
                <w:szCs w:val="18"/>
              </w:rPr>
              <w:t>В</w:t>
            </w:r>
            <w:proofErr w:type="gramEnd"/>
          </w:p>
        </w:tc>
        <w:tc>
          <w:tcPr>
            <w:tcW w:w="34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18"/>
              </w:rPr>
              <w:t>Тип разъема</w:t>
            </w:r>
          </w:p>
        </w:tc>
      </w:tr>
      <w:tr w:rsidR="00CC4959">
        <w:trPr>
          <w:cantSplit/>
        </w:trPr>
        <w:tc>
          <w:tcPr>
            <w:tcW w:w="19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CC4959">
            <w:pPr>
              <w:jc w:val="center"/>
              <w:rPr>
                <w:szCs w:val="24"/>
              </w:rPr>
            </w:pPr>
          </w:p>
          <w:p w:rsidR="00CC4959" w:rsidRDefault="00CC4959">
            <w:pPr>
              <w:jc w:val="center"/>
              <w:rPr>
                <w:szCs w:val="24"/>
              </w:rPr>
            </w:pPr>
          </w:p>
        </w:tc>
        <w:tc>
          <w:tcPr>
            <w:tcW w:w="16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CC4959">
            <w:pPr>
              <w:jc w:val="center"/>
              <w:rPr>
                <w:szCs w:val="24"/>
              </w:rPr>
            </w:pPr>
          </w:p>
          <w:p w:rsidR="00CC4959" w:rsidRDefault="00CC4959">
            <w:pPr>
              <w:jc w:val="center"/>
              <w:rPr>
                <w:szCs w:val="24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18"/>
              </w:rPr>
              <w:t>Линия генератора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  <w:szCs w:val="18"/>
              </w:rPr>
              <w:t>Линия сети</w:t>
            </w:r>
          </w:p>
        </w:tc>
      </w:tr>
      <w:tr w:rsidR="00CC4959"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bCs/>
                <w:color w:val="000000"/>
              </w:rPr>
              <w:t>4,5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color w:val="000000"/>
              </w:rPr>
              <w:t>Розетка типа ИЭ-9901А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color w:val="000000"/>
              </w:rPr>
              <w:t>Вилка типа ИЭ-9901А</w:t>
            </w:r>
          </w:p>
        </w:tc>
      </w:tr>
      <w:tr w:rsidR="00CC4959"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color w:val="000000"/>
              </w:rPr>
              <w:t>Розетка типа РПС-25-4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color w:val="000000"/>
              </w:rPr>
              <w:t>Вилка типа ВПС-40-4</w:t>
            </w:r>
          </w:p>
        </w:tc>
      </w:tr>
      <w:tr w:rsidR="00CC4959"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color w:val="000000"/>
              </w:rPr>
              <w:t>Розетка типа РПС-63-4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color w:val="000000"/>
              </w:rPr>
              <w:t>Вилка типа ВПС-63-4</w:t>
            </w:r>
          </w:p>
        </w:tc>
      </w:tr>
      <w:tr w:rsidR="00CC4959"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color w:val="000000"/>
              </w:rPr>
              <w:t>Розетка типа РПС-100-4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4959" w:rsidRDefault="00281328">
            <w:pPr>
              <w:shd w:val="clear" w:color="auto" w:fill="FFFFFF"/>
              <w:jc w:val="both"/>
              <w:rPr>
                <w:szCs w:val="24"/>
              </w:rPr>
            </w:pPr>
            <w:r>
              <w:rPr>
                <w:color w:val="000000"/>
              </w:rPr>
              <w:t>Вилка типа ВПС-100-4</w:t>
            </w:r>
          </w:p>
        </w:tc>
      </w:tr>
    </w:tbl>
    <w:p w:rsidR="00CC4959" w:rsidRDefault="00CC4959">
      <w:pPr>
        <w:shd w:val="clear" w:color="auto" w:fill="FFFFFF"/>
        <w:ind w:firstLine="284"/>
        <w:jc w:val="both"/>
        <w:rPr>
          <w:color w:val="000000"/>
          <w:szCs w:val="24"/>
        </w:rPr>
      </w:pP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4.24. Разъемы (штепсельные соединения) должны быть с недоступными токоведущими частями.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Присоединение корпуса приемника электроэнергии к УЗО ЭСУ должно осуществляться посредством отдельного провода, который целесообразно крепить к магистральному силовому кабелю. Дополнительный провод должен быть обязательно изолирован.</w:t>
      </w:r>
    </w:p>
    <w:p w:rsidR="00CC4959" w:rsidRDefault="0028132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4.25. Допускается в ЭСУ пожарных машин использовать пятиштырьковые вилки и для подключения трех фаз, нейтрали и защитного провода, с защитой корпуса не менее </w:t>
      </w:r>
      <w:r>
        <w:rPr>
          <w:color w:val="000000"/>
          <w:szCs w:val="24"/>
          <w:lang w:val="en-US"/>
        </w:rPr>
        <w:t>IP</w:t>
      </w:r>
      <w:r>
        <w:rPr>
          <w:color w:val="000000"/>
          <w:szCs w:val="24"/>
        </w:rPr>
        <w:t>45 согласно ГОСТ 14254.</w:t>
      </w:r>
    </w:p>
    <w:p w:rsidR="00CC4959" w:rsidRDefault="00CC4959">
      <w:pPr>
        <w:shd w:val="clear" w:color="auto" w:fill="FFFFFF"/>
        <w:ind w:firstLine="284"/>
        <w:jc w:val="both"/>
        <w:rPr>
          <w:szCs w:val="24"/>
        </w:rPr>
      </w:pPr>
    </w:p>
    <w:p w:rsidR="00CC4959" w:rsidRDefault="00281328">
      <w:pPr>
        <w:shd w:val="clear" w:color="auto" w:fill="FFFFFF"/>
        <w:ind w:firstLine="284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5. ПРИЕМНИКИ ЭЛЕКТРОЭНЕРГИИ</w:t>
      </w:r>
    </w:p>
    <w:p w:rsidR="00CC4959" w:rsidRDefault="00CC4959">
      <w:pPr>
        <w:shd w:val="clear" w:color="auto" w:fill="FFFFFF"/>
        <w:ind w:firstLine="284"/>
        <w:jc w:val="both"/>
        <w:rPr>
          <w:szCs w:val="24"/>
        </w:rPr>
      </w:pP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5.1. ЭСУ пожарных машин комплектуются стационарными и переносными приемниками электроэнергии.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5.2. Рабочее напряжение приемников электроэнергии должно быть не более 230 В.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Корпуса стационарных приемников электроэнергии должны иметь металлическую связь с шасси пожарной машины и рамой ЭСУ.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Переносные приемники электроэнергии подключаются к ЭСУ через УЗО.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5.3. Суммарная мощность, одновременно потребляемая стационарными и переносными приемниками электроэнергии по основным схемам работы, не должна превышать 90% номинальной мощности генератора ЭСУ.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5.4. Номинальную мощность асинхронного двигателя приемника электроэнергии следует принимать не более 70% мощности генератора ЭСУ.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5.5. Присоединение переносных приемников электроэнергии к распределительному устройству ЭСУ должно осуществляться посредством кабелей.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Запрещается присоединение переносных приемников электроэнергии к питающей сети без разъема.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5.6. Разъемы (штепсельные соединения) должны быть с недоступными токоведущими частями и иметь специальный контакт для жилы кабеля, соединяющий корпус приемника электроэнергии с УЗО.</w:t>
      </w:r>
    </w:p>
    <w:p w:rsidR="00CC4959" w:rsidRDefault="0028132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5.7. Присоединение корпуса приемника электроэнергии к УЗО должно осуществляться посредством специальной жилы переносного кабеля, которая не должна одновременно служить проводником рабочего тока. Эта жила должна быть в общей оболочке кабеля.</w:t>
      </w:r>
    </w:p>
    <w:p w:rsidR="00CC4959" w:rsidRDefault="00CC4959">
      <w:pPr>
        <w:shd w:val="clear" w:color="auto" w:fill="FFFFFF"/>
        <w:ind w:firstLine="284"/>
        <w:jc w:val="both"/>
        <w:rPr>
          <w:szCs w:val="24"/>
        </w:rPr>
      </w:pPr>
    </w:p>
    <w:p w:rsidR="00CC4959" w:rsidRDefault="00281328">
      <w:pPr>
        <w:shd w:val="clear" w:color="auto" w:fill="FFFFFF"/>
        <w:ind w:firstLine="284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6. РАЗВЕТВИТЕЛЬНЫЕ КОРОБКИ</w:t>
      </w:r>
      <w:r w:rsidR="008F4244">
        <w:rPr>
          <w:b/>
          <w:color w:val="000000"/>
          <w:szCs w:val="24"/>
        </w:rPr>
        <w:t xml:space="preserve"> </w:t>
      </w:r>
      <w:r>
        <w:rPr>
          <w:b/>
          <w:color w:val="000000"/>
          <w:szCs w:val="24"/>
        </w:rPr>
        <w:t>И КАБЕЛЬНЫЕ КАТУШКИ</w:t>
      </w:r>
    </w:p>
    <w:p w:rsidR="00CC4959" w:rsidRDefault="00CC4959">
      <w:pPr>
        <w:shd w:val="clear" w:color="auto" w:fill="FFFFFF"/>
        <w:ind w:firstLine="284"/>
        <w:jc w:val="center"/>
        <w:rPr>
          <w:b/>
          <w:szCs w:val="24"/>
        </w:rPr>
      </w:pP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6.1. Разветвительные коробки для подключения группы приемников электроэнергии рекомендуется оборудовать системами снятия напряжения с розеток.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6.2. Розетки разветвительных коробок должны иметь заглушки для защиты от попадания влаги и грязи.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6.3. На разветвительных коробках рекомендуется предусматривать световую сигнализацию наличия напряжения на розетках.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6.4. Кабельные катушки рекомендуется конструктивно выполнять таким образом, чтобы не допускать контакта корпусов разъемов кабеля с поверхностью земли.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6.5. В комплект ЭСУ для повышения оперативности работы с выносными приемниками электроэнергии рекомендуется вводить универсальные кабельные катушки с удлинителем.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Длина основного кабеля - не менее 25 м, удлинителя - не менее 4 м.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6.6. Кабельные катушки, как правило, должны быть оборудованы ремнем для переноски.</w:t>
      </w:r>
    </w:p>
    <w:p w:rsidR="00CC4959" w:rsidRDefault="0028132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6.7. Корпус разветвительных коробок и кабельных катушек на различную частоту тока и </w:t>
      </w:r>
      <w:r>
        <w:rPr>
          <w:color w:val="000000"/>
          <w:szCs w:val="24"/>
        </w:rPr>
        <w:lastRenderedPageBreak/>
        <w:t>напряжение должны иметь отличительную окраску, а разъемы (штепсельные соединения) конструктивно отличаться, чтобы исключить возможность взаимного включения приемников электроэнергии.</w:t>
      </w:r>
    </w:p>
    <w:p w:rsidR="00CC4959" w:rsidRDefault="00CC4959">
      <w:pPr>
        <w:shd w:val="clear" w:color="auto" w:fill="FFFFFF"/>
        <w:ind w:firstLine="284"/>
        <w:jc w:val="both"/>
        <w:rPr>
          <w:szCs w:val="24"/>
        </w:rPr>
      </w:pPr>
    </w:p>
    <w:p w:rsidR="00CC4959" w:rsidRDefault="00281328">
      <w:pPr>
        <w:shd w:val="clear" w:color="auto" w:fill="FFFFFF"/>
        <w:ind w:firstLine="284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7. ТРЕБОВАНИЯ БЕЗОПАСНОСТИ</w:t>
      </w:r>
    </w:p>
    <w:p w:rsidR="00CC4959" w:rsidRDefault="00CC4959">
      <w:pPr>
        <w:shd w:val="clear" w:color="auto" w:fill="FFFFFF"/>
        <w:ind w:firstLine="284"/>
        <w:jc w:val="both"/>
        <w:rPr>
          <w:szCs w:val="24"/>
        </w:rPr>
      </w:pP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7.1. ЭСУ пожарных машин должны соответствовать "Правилам технической эксплуатации электроустановок потребителей" и "Правилам техники безопасности при эксплуатации электроустановок потребителей", утвержденным Государственной инспекцией по энергетическому надзору.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7.2. ЭСУ должны соответствовать требованиям безопасности по ГОСТ 12.2.007 и ГОСТ 12.2.003.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7.3. ЭСУ должны соответствовать "Правилам по охране труда в подразделениях ГПС МЧС России" (ПОТ РО-01-2002)" и "Правилам безопасности при эксплуатации электроустановок пожарных автомобилей и прицепов", утвержденным МВД СССР.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7.4. Размещение ЭСУ на пожарном автомобиле должно выполняться в соответствии с требованиями ГОСТ 12.2.037.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7.5. Конструкция ЭСУ должна обеспечивать удобство и безопасность технического обслуживания, монтажных и ремонтных работ.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7.6. Рабочее напряжение ЭСУ должно быть не более 230 В.</w:t>
      </w:r>
    </w:p>
    <w:p w:rsidR="00CC4959" w:rsidRDefault="0028132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7.7. В ЭСУ пожарных машин запрещается: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 xml:space="preserve">выводить из </w:t>
      </w:r>
      <w:proofErr w:type="spellStart"/>
      <w:r>
        <w:rPr>
          <w:color w:val="000000"/>
          <w:szCs w:val="24"/>
        </w:rPr>
        <w:t>клеммной</w:t>
      </w:r>
      <w:proofErr w:type="spellEnd"/>
      <w:r>
        <w:rPr>
          <w:color w:val="000000"/>
          <w:szCs w:val="24"/>
        </w:rPr>
        <w:t xml:space="preserve"> коробки и заземлять нейтраль генератора;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использовать линейное напряжение для работы приемников электрической энергии и световой сигнализации.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7.8. Для обеспечения электробезопасности в ЭСУ напряжением 36</w:t>
      </w:r>
      <w:proofErr w:type="gramStart"/>
      <w:r>
        <w:rPr>
          <w:color w:val="000000"/>
          <w:szCs w:val="24"/>
        </w:rPr>
        <w:t xml:space="preserve"> В</w:t>
      </w:r>
      <w:proofErr w:type="gramEnd"/>
      <w:r>
        <w:rPr>
          <w:color w:val="000000"/>
          <w:szCs w:val="24"/>
        </w:rPr>
        <w:t xml:space="preserve"> и выше должен быть предусмотрен постоянный контроль сопротивления изоляции и устройства защитного отключения аварийных участков электросети по ГОСТ 12.4.155.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Система обеспечения электробезопасности, состоящая из сочетания устройств постоянного контроля сопротивления изоляции и устройств защитного отключения, является основной системой обеспечения электробезопасности при эксплуатации ЭСУ пожарных машин.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7.9. УЗО должны отключать аварийные участки электросети при величине токов утечки не более значений, приведенных в табл. 1 настоящих Рекомендаций.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7.10. Защита должна быть избирательной (селективной), отключать только аварийные участки сети.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7.11. Все металлические корпуса оборудования, находящиеся на транспортном средстве, должны иметь металлическую связь между собой и рамой этого транспортного средства.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7.12. Токоведущие части ЭСУ, вращающиеся элементы трансмиссии привода генератора и сам генератор, являющиеся источниками опасности, должны быть изолированы и ограждены.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7.13. Сопротивление изоляции электрических цепей ЭСУ относительно корпуса и цепей, электрически не связанных между собой, должно быть не менее 0,5 мОм.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7.14. Конструкция и материал вводных устройств должны исключать возможность случайного прикосновения к токоведущим частям электрических перекрытий, а также замыкание проводников на корпус или между собой.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 xml:space="preserve">7.15. Щиты </w:t>
      </w:r>
      <w:proofErr w:type="gramStart"/>
      <w:r>
        <w:rPr>
          <w:color w:val="000000"/>
          <w:szCs w:val="24"/>
        </w:rPr>
        <w:t>СР</w:t>
      </w:r>
      <w:proofErr w:type="gramEnd"/>
      <w:r>
        <w:rPr>
          <w:color w:val="000000"/>
          <w:szCs w:val="24"/>
        </w:rPr>
        <w:t xml:space="preserve"> могут размещаться в кабинах, салонах и специальных отсеках пожарных машин.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 xml:space="preserve">В отсеках со щитами </w:t>
      </w:r>
      <w:proofErr w:type="gramStart"/>
      <w:r>
        <w:rPr>
          <w:color w:val="000000"/>
          <w:szCs w:val="24"/>
        </w:rPr>
        <w:t>СР</w:t>
      </w:r>
      <w:proofErr w:type="gramEnd"/>
      <w:r>
        <w:rPr>
          <w:color w:val="000000"/>
          <w:szCs w:val="24"/>
        </w:rPr>
        <w:t xml:space="preserve"> не допускается размещение механических передач, гидравлических, пневматических и других коммуникаций, не относящихся к ЭСУ.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 xml:space="preserve">Щиты </w:t>
      </w:r>
      <w:proofErr w:type="gramStart"/>
      <w:r>
        <w:rPr>
          <w:color w:val="000000"/>
          <w:szCs w:val="24"/>
        </w:rPr>
        <w:t>СР</w:t>
      </w:r>
      <w:proofErr w:type="gramEnd"/>
      <w:r>
        <w:rPr>
          <w:color w:val="000000"/>
          <w:szCs w:val="24"/>
        </w:rPr>
        <w:t>, как правило, устанавливаются с применением виброизолирующих устройств.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 xml:space="preserve">7.16. На лицевой панели или в другом месте, удобном для обзора </w:t>
      </w:r>
      <w:proofErr w:type="gramStart"/>
      <w:r>
        <w:rPr>
          <w:color w:val="000000"/>
          <w:szCs w:val="24"/>
        </w:rPr>
        <w:t>СР</w:t>
      </w:r>
      <w:proofErr w:type="gramEnd"/>
      <w:r>
        <w:rPr>
          <w:color w:val="000000"/>
          <w:szCs w:val="24"/>
        </w:rPr>
        <w:t>, если оно выделено в автономный блок, должен быть предупреждающий знак 2.5 "Осторожно! Электрическое напряжение" по ГОСТ 12.4.026.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7.17. Ввод проводов в корпуса, коробки, щитки и другие устройства следует осуществлять через изоляционные детали.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При этом должна быть исключена возможность повреждения проводов и их изоляции в процессе монтажа и эксплуатации ЭСУ.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7.18. Вводы, проводники, штепсельные разъемы должны иметь маркировку. Навеска маркировочных бирок не допускается. Маркировка проводников, как правило, должна выполняться на обоих концах каждого проводника.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 xml:space="preserve">7.19. Предупреждающие сигналы, надписи и таблички должны применяться для указания: включенного состояния изделия, защиты, наличия напряжения, включения стационарных </w:t>
      </w:r>
      <w:r>
        <w:rPr>
          <w:color w:val="000000"/>
          <w:szCs w:val="24"/>
        </w:rPr>
        <w:lastRenderedPageBreak/>
        <w:t>приемников электроэнергии и других действий, установленных для конкретных видов изделий.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7.20. Корпуса распределительных устройств, разветвительных коробок, приемников электроэнергии, кабельных катушек на разную частоту тока и напряжение должны иметь отличительную окраску, а штепсельные соединения конструктивно отличаться, чтобы исключить возможность взаимного включения.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7.21. Переносные приемники электроэнергии должны быть безопасными в работе и иметь недоступные для прикосновения токоведущие части.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7.22. Питание переносных приемников электроэнергии должно осуществляться переносным гибким кабелем с медными жилами, резиновой изоляцией в оболочке, устойчивой к многократным перегибам и истиранию, стойкой к окружающей среде.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 xml:space="preserve">7.23. Степень защиты переносных приемников, щитов управления, разветвительных коробок и кабельных катушек должна соответствовать исполнению не менее </w:t>
      </w:r>
      <w:r>
        <w:rPr>
          <w:color w:val="000000"/>
          <w:szCs w:val="24"/>
          <w:lang w:val="en-US"/>
        </w:rPr>
        <w:t>IP</w:t>
      </w:r>
      <w:r>
        <w:rPr>
          <w:color w:val="000000"/>
          <w:szCs w:val="24"/>
        </w:rPr>
        <w:t>44 по ГОСТ 14254.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7.24. Световая сигнализация (индикация) может быть осуществлена как с помощью непрерывно горящих, так и мигающих огней.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Сигнальные лампы, табло и другие светосигнальные элементы должны иметь знаки или надписи, указывающие значение сигнала. Рекомендуемое цветовое кодирование сигналов приведено в табл. 2 настоящих Рекомендаций.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7.25. При разработке ЭСУ с 01.01.2003 г. должны быть учтены требования безопасности в соответствии с разделом "Передвижные электроустановки" "Правил устройства электроустановок" (7-е издание).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 xml:space="preserve">7.26. Пожарная безопасность ЭСУ по ГОСТ 12.1.004 обеспечивается </w:t>
      </w:r>
      <w:proofErr w:type="gramStart"/>
      <w:r>
        <w:rPr>
          <w:color w:val="000000"/>
          <w:szCs w:val="24"/>
        </w:rPr>
        <w:t>благодаря</w:t>
      </w:r>
      <w:proofErr w:type="gramEnd"/>
      <w:r>
        <w:rPr>
          <w:color w:val="000000"/>
          <w:szCs w:val="24"/>
        </w:rPr>
        <w:t>: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исключению использования в конструкции изделий из легковоспламеняющихся материалов;</w:t>
      </w:r>
    </w:p>
    <w:p w:rsidR="00CC4959" w:rsidRDefault="00281328">
      <w:pPr>
        <w:shd w:val="clear" w:color="auto" w:fill="FFFFFF"/>
        <w:ind w:firstLine="284"/>
        <w:jc w:val="both"/>
        <w:rPr>
          <w:szCs w:val="24"/>
        </w:rPr>
      </w:pPr>
      <w:r>
        <w:rPr>
          <w:color w:val="000000"/>
          <w:szCs w:val="24"/>
        </w:rPr>
        <w:t>применению устройств, предназначенных для автоматического отключения участков электросети в аварийном режиме работы (перегрузка, перегрев, короткое замыкание и др.) и предотвращения пожара.</w:t>
      </w:r>
    </w:p>
    <w:p w:rsidR="00CC4959" w:rsidRDefault="00281328">
      <w:pPr>
        <w:shd w:val="clear" w:color="auto" w:fill="FFFFFF"/>
        <w:ind w:firstLine="284"/>
        <w:jc w:val="both"/>
        <w:rPr>
          <w:color w:val="000000"/>
          <w:szCs w:val="24"/>
        </w:rPr>
      </w:pPr>
      <w:r>
        <w:rPr>
          <w:color w:val="000000"/>
          <w:szCs w:val="24"/>
        </w:rPr>
        <w:t>Требования по защите ЭСУ от пожара приведены в ГОСТ 23377.</w:t>
      </w:r>
    </w:p>
    <w:p w:rsidR="00CC4959" w:rsidRDefault="00CC4959">
      <w:pPr>
        <w:shd w:val="clear" w:color="auto" w:fill="FFFFFF"/>
        <w:ind w:firstLine="284"/>
        <w:jc w:val="both"/>
        <w:rPr>
          <w:color w:val="000000"/>
          <w:szCs w:val="24"/>
        </w:rPr>
      </w:pPr>
    </w:p>
    <w:p w:rsidR="00CC4959" w:rsidRDefault="00CC4959">
      <w:pPr>
        <w:shd w:val="clear" w:color="auto" w:fill="FFFFFF"/>
        <w:ind w:firstLine="284"/>
        <w:jc w:val="both"/>
        <w:rPr>
          <w:szCs w:val="24"/>
        </w:rPr>
      </w:pPr>
    </w:p>
    <w:p w:rsidR="00281328" w:rsidRDefault="00281328">
      <w:pPr>
        <w:shd w:val="clear" w:color="auto" w:fill="FFFFFF"/>
        <w:ind w:firstLine="284"/>
        <w:jc w:val="both"/>
        <w:rPr>
          <w:szCs w:val="24"/>
        </w:rPr>
      </w:pPr>
    </w:p>
    <w:sectPr w:rsidR="00281328">
      <w:type w:val="continuous"/>
      <w:pgSz w:w="11909" w:h="16834" w:code="9"/>
      <w:pgMar w:top="1440" w:right="1797" w:bottom="1440" w:left="179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226"/>
    <w:rsid w:val="00221226"/>
    <w:rsid w:val="00281328"/>
    <w:rsid w:val="006329FC"/>
    <w:rsid w:val="008F4244"/>
    <w:rsid w:val="00CC4959"/>
    <w:rsid w:val="00E2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42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42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statyi-polzovateley/pozharnye-avtomobili-opredelenie-i-klassifikac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4663</Words>
  <Characters>26582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Рекомендации. Унификация электрических схем, коммутационных и распределительных устройств, кабельного хозяйства электросиловых установок основных источников питания пожарных автомобилей, выпускаемых различными предприятиями-изготовителями</vt:lpstr>
    </vt:vector>
  </TitlesOfParts>
  <LinksUpToDate>false</LinksUpToDate>
  <CharactersWithSpaces>31183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1900-12-31T18:00:00Z</cp:lastPrinted>
  <dcterms:created xsi:type="dcterms:W3CDTF">2019-05-12T10:17:00Z</dcterms:created>
  <dcterms:modified xsi:type="dcterms:W3CDTF">2019-06-18T17:29:00Z</dcterms:modified>
</cp:coreProperties>
</file>