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УДК 614.842.615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2"/>
        </w:rPr>
      </w:pPr>
      <w:r>
        <w:rPr>
          <w:szCs w:val="22"/>
        </w:rPr>
        <w:t>МИНИСТЕРСТВО РОССИЙСКОЙ ФЕДЕРАЦИИ ПО ДЕЛАМ</w:t>
      </w:r>
    </w:p>
    <w:p w:rsidR="00FF3B2D" w:rsidRDefault="00B60BD4">
      <w:pPr>
        <w:shd w:val="clear" w:color="auto" w:fill="FFFFFF"/>
        <w:ind w:firstLine="284"/>
        <w:jc w:val="center"/>
        <w:rPr>
          <w:szCs w:val="22"/>
        </w:rPr>
      </w:pPr>
      <w:r>
        <w:rPr>
          <w:szCs w:val="22"/>
        </w:rPr>
        <w:t>ГРАЖДАНСКОЙ ОБОРОНЫ, ЧРЕЗВЫЧАЙНЫМ СИТУАЦИЯМ</w:t>
      </w:r>
    </w:p>
    <w:p w:rsidR="00FF3B2D" w:rsidRDefault="00B60BD4">
      <w:pPr>
        <w:shd w:val="clear" w:color="auto" w:fill="FFFFFF"/>
        <w:ind w:firstLine="284"/>
        <w:jc w:val="center"/>
        <w:rPr>
          <w:szCs w:val="22"/>
        </w:rPr>
      </w:pPr>
      <w:r>
        <w:rPr>
          <w:szCs w:val="22"/>
        </w:rPr>
        <w:t>И ЛИКВИДАЦИИ ПОСЛЕДСТВИЙ СТИХИЙНЫХ БЕДСТВИЙ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2"/>
        </w:rPr>
      </w:pPr>
      <w:r>
        <w:rPr>
          <w:szCs w:val="22"/>
        </w:rPr>
        <w:t>ФЕДЕРАЛЬНОЕ ГОСУДАРСТВЕННОЕ УЧРЕЖДЕНИЕ</w:t>
      </w:r>
    </w:p>
    <w:p w:rsidR="00FF3B2D" w:rsidRDefault="00B60BD4">
      <w:pPr>
        <w:shd w:val="clear" w:color="auto" w:fill="FFFFFF"/>
        <w:ind w:firstLine="284"/>
        <w:jc w:val="center"/>
        <w:rPr>
          <w:szCs w:val="22"/>
        </w:rPr>
      </w:pPr>
      <w:r>
        <w:rPr>
          <w:szCs w:val="22"/>
        </w:rPr>
        <w:t>«ВСЕРОССИЙСКИЙ ОРДЕНА "ЗНАК ПОЧЕТА" НАУЧНО-ИССЛЕДОВАТЕЛЬСКИЙ ИНСТИТУТ ПРОТИВОПОЖАРНОЙ ОБОРОНЫ»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Pr="00CC5F7D" w:rsidRDefault="00B60BD4">
      <w:pPr>
        <w:shd w:val="clear" w:color="auto" w:fill="FFFFFF"/>
        <w:ind w:firstLine="284"/>
        <w:jc w:val="center"/>
        <w:rPr>
          <w:b/>
          <w:bCs/>
          <w:sz w:val="28"/>
          <w:szCs w:val="32"/>
        </w:rPr>
      </w:pPr>
      <w:r w:rsidRPr="00ED0BD0">
        <w:rPr>
          <w:b/>
          <w:bCs/>
          <w:sz w:val="28"/>
          <w:szCs w:val="32"/>
        </w:rPr>
        <w:t>ПОРЯ</w:t>
      </w:r>
      <w:bookmarkStart w:id="0" w:name="_GoBack"/>
      <w:bookmarkEnd w:id="0"/>
      <w:r w:rsidRPr="00ED0BD0">
        <w:rPr>
          <w:b/>
          <w:bCs/>
          <w:sz w:val="28"/>
          <w:szCs w:val="32"/>
        </w:rPr>
        <w:t xml:space="preserve">ДОК </w:t>
      </w:r>
      <w:r w:rsidRPr="00CC5F7D">
        <w:rPr>
          <w:b/>
          <w:bCs/>
          <w:sz w:val="28"/>
          <w:szCs w:val="32"/>
        </w:rPr>
        <w:t xml:space="preserve">ПРИМЕНЕНИЯ </w:t>
      </w:r>
      <w:hyperlink r:id="rId5" w:history="1">
        <w:r w:rsidRPr="00CC5F7D">
          <w:rPr>
            <w:rStyle w:val="a3"/>
            <w:b/>
            <w:bCs/>
            <w:color w:val="auto"/>
            <w:sz w:val="28"/>
            <w:szCs w:val="32"/>
            <w:u w:val="none"/>
          </w:rPr>
          <w:t>ПЕНООБРАЗОВАТЕЛЕЙ ДЛЯ ТУШЕНИЯ ПОЖАРОВ</w:t>
        </w:r>
      </w:hyperlink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4"/>
        </w:rPr>
      </w:pPr>
      <w:r>
        <w:rPr>
          <w:b/>
          <w:bCs/>
          <w:szCs w:val="34"/>
        </w:rPr>
        <w:t>Рекомендации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2"/>
        </w:rPr>
      </w:pPr>
      <w:r>
        <w:rPr>
          <w:szCs w:val="22"/>
        </w:rPr>
        <w:t>РАЗРАБОТАНЫ ФГУ ВНИИПО МЧС России (С.Н. Копылов, С.Г. Цариченко, В.А. Былинкин, В.В. Пешков, Е.Е. Архипов) и ГУ УОП МЧС России (В.В. Жидовленков).</w:t>
      </w:r>
    </w:p>
    <w:p w:rsidR="00FF3B2D" w:rsidRDefault="00FF3B2D">
      <w:pPr>
        <w:shd w:val="clear" w:color="auto" w:fill="FFFFFF"/>
        <w:ind w:firstLine="284"/>
        <w:jc w:val="both"/>
        <w:rPr>
          <w:szCs w:val="22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2"/>
        </w:rPr>
      </w:pPr>
      <w:r>
        <w:rPr>
          <w:szCs w:val="22"/>
        </w:rPr>
        <w:t>УТВЕРЖДЕНЫ МЧС России 27 августа 2007 г.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Представлены сведения о пенообразователях, применяемых на территории России в целях пожаротушения (классификация, назначение и технические требования согласно действующим нормативным документам). Приведен порядок применения, транспортирования и хранения, проверки качества, регенерации, утилизации и обезвреживания, стабилизации свойств пенообразователей и их растворов. Изложены основные требования безопасности и охраны окружающей среды.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szCs w:val="22"/>
        </w:rPr>
        <w:t>Предназначены для сотрудников Государственной противопожарной службы (ГПС) МЧС России, специализированных проектных и исследовательских организаций, а также предприятий, занимающихся эксплуатацией пенных средств тушения.</w:t>
      </w:r>
      <w:proofErr w:type="gramEnd"/>
    </w:p>
    <w:p w:rsidR="00ED0BD0" w:rsidRDefault="00ED0BD0" w:rsidP="00ED0BD0">
      <w:pPr>
        <w:shd w:val="clear" w:color="auto" w:fill="FFFFFF"/>
        <w:ind w:firstLine="284"/>
        <w:jc w:val="center"/>
        <w:rPr>
          <w:b/>
          <w:bCs/>
          <w:szCs w:val="26"/>
        </w:rPr>
      </w:pPr>
    </w:p>
    <w:p w:rsidR="00ED0BD0" w:rsidRDefault="00ED0BD0" w:rsidP="00ED0BD0">
      <w:pPr>
        <w:shd w:val="clear" w:color="auto" w:fill="FFFFFF"/>
        <w:ind w:firstLine="284"/>
        <w:jc w:val="center"/>
        <w:rPr>
          <w:b/>
          <w:bCs/>
          <w:szCs w:val="26"/>
        </w:rPr>
      </w:pPr>
      <w:r>
        <w:rPr>
          <w:b/>
          <w:bCs/>
          <w:szCs w:val="26"/>
        </w:rPr>
        <w:t>ОГЛАВЛЕНИЕ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Введение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1. Общие сведения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2. Порядок применения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3. Транспортирование и хранение пенообразователей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4. Стабилизация свойств пенообразователей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5. Порядок проверки качества пенообразователя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6. Регенерация пенообразователей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7. Утилизация и обезвреживание пенообразователей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8. Требования безопасности и охраны окружающей среды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Литература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>Приложение</w:t>
      </w:r>
      <w:proofErr w:type="gramStart"/>
      <w:r>
        <w:rPr>
          <w:i/>
          <w:iCs/>
          <w:szCs w:val="22"/>
        </w:rPr>
        <w:t xml:space="preserve"> А</w:t>
      </w:r>
      <w:proofErr w:type="gramEnd"/>
      <w:r>
        <w:rPr>
          <w:i/>
          <w:iCs/>
          <w:szCs w:val="22"/>
        </w:rPr>
        <w:t xml:space="preserve"> (обязательное). </w:t>
      </w:r>
      <w:r>
        <w:rPr>
          <w:szCs w:val="22"/>
        </w:rPr>
        <w:t>Основные показатели пенообразователей общего и целевого назначения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>Приложение</w:t>
      </w:r>
      <w:proofErr w:type="gramStart"/>
      <w:r>
        <w:rPr>
          <w:i/>
          <w:iCs/>
          <w:szCs w:val="22"/>
        </w:rPr>
        <w:t xml:space="preserve"> Б</w:t>
      </w:r>
      <w:proofErr w:type="gramEnd"/>
      <w:r>
        <w:rPr>
          <w:i/>
          <w:iCs/>
          <w:szCs w:val="22"/>
        </w:rPr>
        <w:t xml:space="preserve"> (информационное). </w:t>
      </w:r>
      <w:r>
        <w:rPr>
          <w:szCs w:val="22"/>
        </w:rPr>
        <w:t>Перечень предприятий России, изготавливающих пенообразователи и указанных в настоящих рекомендациях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>Приложение</w:t>
      </w:r>
      <w:proofErr w:type="gramStart"/>
      <w:r>
        <w:rPr>
          <w:i/>
          <w:iCs/>
          <w:szCs w:val="22"/>
        </w:rPr>
        <w:t xml:space="preserve"> В</w:t>
      </w:r>
      <w:proofErr w:type="gramEnd"/>
      <w:r>
        <w:rPr>
          <w:i/>
          <w:iCs/>
          <w:szCs w:val="22"/>
        </w:rPr>
        <w:t xml:space="preserve"> (обязательное). </w:t>
      </w:r>
      <w:r>
        <w:rPr>
          <w:szCs w:val="22"/>
        </w:rPr>
        <w:t>Модель жесткой воды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 xml:space="preserve">Приложение Г (обязательное). </w:t>
      </w:r>
      <w:r>
        <w:rPr>
          <w:szCs w:val="22"/>
        </w:rPr>
        <w:t>Модель морской воды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>Приложение</w:t>
      </w:r>
      <w:proofErr w:type="gramStart"/>
      <w:r>
        <w:rPr>
          <w:i/>
          <w:iCs/>
          <w:szCs w:val="22"/>
        </w:rPr>
        <w:t xml:space="preserve"> Д</w:t>
      </w:r>
      <w:proofErr w:type="gramEnd"/>
      <w:r>
        <w:rPr>
          <w:i/>
          <w:iCs/>
          <w:szCs w:val="22"/>
        </w:rPr>
        <w:t xml:space="preserve"> (рекомендуемое). </w:t>
      </w:r>
      <w:r>
        <w:rPr>
          <w:szCs w:val="22"/>
        </w:rPr>
        <w:t>Нормы подачи пены из пенообразователей при тушении нефти и нефтепродуктов</w:t>
      </w:r>
      <w:r>
        <w:rPr>
          <w:szCs w:val="22"/>
        </w:rPr>
        <w:t>.</w:t>
      </w:r>
    </w:p>
    <w:p w:rsidR="00ED0BD0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>Приложение</w:t>
      </w:r>
      <w:proofErr w:type="gramStart"/>
      <w:r>
        <w:rPr>
          <w:i/>
          <w:iCs/>
          <w:szCs w:val="22"/>
        </w:rPr>
        <w:t xml:space="preserve"> Е</w:t>
      </w:r>
      <w:proofErr w:type="gramEnd"/>
      <w:r>
        <w:rPr>
          <w:i/>
          <w:iCs/>
          <w:szCs w:val="22"/>
        </w:rPr>
        <w:t xml:space="preserve"> (рекомендуемое). </w:t>
      </w:r>
      <w:r>
        <w:rPr>
          <w:szCs w:val="22"/>
        </w:rPr>
        <w:t>Определение устойчивости пены на поверхности ацетона</w:t>
      </w:r>
      <w:r>
        <w:rPr>
          <w:szCs w:val="22"/>
        </w:rPr>
        <w:t>.</w:t>
      </w:r>
    </w:p>
    <w:p w:rsidR="00FF3B2D" w:rsidRDefault="00ED0BD0" w:rsidP="00ED0BD0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2"/>
        </w:rPr>
        <w:t>Приложение</w:t>
      </w:r>
      <w:proofErr w:type="gramStart"/>
      <w:r>
        <w:rPr>
          <w:i/>
          <w:iCs/>
          <w:szCs w:val="22"/>
        </w:rPr>
        <w:t xml:space="preserve"> Ж</w:t>
      </w:r>
      <w:proofErr w:type="gramEnd"/>
      <w:r>
        <w:rPr>
          <w:i/>
          <w:iCs/>
          <w:szCs w:val="22"/>
        </w:rPr>
        <w:t xml:space="preserve"> (рекомендуемое). </w:t>
      </w:r>
      <w:r>
        <w:rPr>
          <w:szCs w:val="22"/>
        </w:rPr>
        <w:t xml:space="preserve">Определение </w:t>
      </w:r>
      <w:proofErr w:type="gramStart"/>
      <w:r>
        <w:rPr>
          <w:szCs w:val="22"/>
        </w:rPr>
        <w:t>экспресс-методом</w:t>
      </w:r>
      <w:proofErr w:type="gramEnd"/>
      <w:r>
        <w:rPr>
          <w:szCs w:val="22"/>
        </w:rPr>
        <w:t xml:space="preserve"> времени защитного действия (ВЗД) водной пленки на поверхности углеводородной жидкости</w:t>
      </w:r>
      <w:r>
        <w:rPr>
          <w:szCs w:val="22"/>
        </w:rPr>
        <w:t>.</w:t>
      </w:r>
    </w:p>
    <w:p w:rsidR="00ED0BD0" w:rsidRDefault="00ED0BD0">
      <w:pPr>
        <w:widowControl/>
        <w:autoSpaceDE/>
        <w:autoSpaceDN/>
        <w:adjustRightInd/>
        <w:rPr>
          <w:b/>
          <w:bCs/>
          <w:szCs w:val="26"/>
        </w:rPr>
      </w:pPr>
      <w:r>
        <w:rPr>
          <w:b/>
          <w:bCs/>
          <w:szCs w:val="26"/>
        </w:rPr>
        <w:br w:type="page"/>
      </w: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6"/>
        </w:rPr>
      </w:pPr>
      <w:r>
        <w:rPr>
          <w:b/>
          <w:bCs/>
          <w:szCs w:val="26"/>
        </w:rPr>
        <w:lastRenderedPageBreak/>
        <w:t>ВВЕДЕНИЕ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С введением в действие настоящих рекомендаций утрачивает силу инструкция «Порядок применения пенообразователей для тушения пожаров» (М.: ВНИИПО, 1996). Рекомендации разработаны на основе результатов экспериментальных исследований и опыта применения пенных средств тушения подразделениями ГПС МЧС России. В них учтены требования и нормы следующих нормативных документов: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ГОСТ 4.99-83. СПКП. Пенообразователи для тушения пожаров. Номенклатура показателей [1];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 xml:space="preserve">ГОСТ </w:t>
      </w:r>
      <w:proofErr w:type="gramStart"/>
      <w:r>
        <w:rPr>
          <w:szCs w:val="22"/>
        </w:rPr>
        <w:t>Р</w:t>
      </w:r>
      <w:proofErr w:type="gramEnd"/>
      <w:r>
        <w:rPr>
          <w:szCs w:val="22"/>
        </w:rPr>
        <w:t xml:space="preserve"> 50588-93. Пенообразователи для тушения пожаров. Общие технические требования и методы испытаний [2];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>НПБ 304-2001. Пенообразователи для тушения пожаров. Общие технические требования и методы испытаний [3];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 xml:space="preserve">Международный стандарт </w:t>
      </w:r>
      <w:r>
        <w:rPr>
          <w:szCs w:val="22"/>
          <w:lang w:val="en-US"/>
        </w:rPr>
        <w:t>ISO</w:t>
      </w:r>
      <w:r>
        <w:rPr>
          <w:szCs w:val="22"/>
        </w:rPr>
        <w:t xml:space="preserve"> 7203, ч. 1, 2 и 3. Огнетушащие вещества. Пенообразователи [4-6];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2"/>
        </w:rPr>
        <w:t xml:space="preserve">Европейский стандарт </w:t>
      </w:r>
      <w:r>
        <w:rPr>
          <w:szCs w:val="22"/>
          <w:lang w:val="en-US"/>
        </w:rPr>
        <w:t>EN</w:t>
      </w:r>
      <w:r>
        <w:rPr>
          <w:szCs w:val="22"/>
        </w:rPr>
        <w:t xml:space="preserve"> 1568, ч. 1, 2, 3 и 4: 2000. Огнетушащие вещества. Пенообразователи [7-10];</w:t>
      </w:r>
    </w:p>
    <w:p w:rsidR="00FF3B2D" w:rsidRDefault="00B60BD4">
      <w:pPr>
        <w:shd w:val="clear" w:color="auto" w:fill="FFFFFF"/>
        <w:ind w:firstLine="284"/>
        <w:jc w:val="both"/>
        <w:rPr>
          <w:szCs w:val="22"/>
        </w:rPr>
      </w:pPr>
      <w:r>
        <w:rPr>
          <w:szCs w:val="22"/>
        </w:rPr>
        <w:t xml:space="preserve">Международная морская организация </w:t>
      </w:r>
      <w:r>
        <w:rPr>
          <w:szCs w:val="22"/>
          <w:lang w:val="en-US"/>
        </w:rPr>
        <w:t>IMO</w:t>
      </w:r>
      <w:r>
        <w:rPr>
          <w:szCs w:val="22"/>
        </w:rPr>
        <w:t xml:space="preserve"> </w:t>
      </w:r>
      <w:r>
        <w:rPr>
          <w:szCs w:val="22"/>
          <w:lang w:val="en-US"/>
        </w:rPr>
        <w:t>MSC</w:t>
      </w:r>
      <w:r>
        <w:rPr>
          <w:szCs w:val="22"/>
        </w:rPr>
        <w:t>/</w:t>
      </w:r>
      <w:r>
        <w:rPr>
          <w:szCs w:val="22"/>
          <w:lang w:val="en-US"/>
        </w:rPr>
        <w:t>Circ</w:t>
      </w:r>
      <w:r>
        <w:rPr>
          <w:szCs w:val="22"/>
        </w:rPr>
        <w:t xml:space="preserve">. 582: 1992; </w:t>
      </w:r>
      <w:r>
        <w:rPr>
          <w:szCs w:val="22"/>
          <w:lang w:val="en-US"/>
        </w:rPr>
        <w:t>MSC</w:t>
      </w:r>
      <w:r>
        <w:rPr>
          <w:szCs w:val="22"/>
        </w:rPr>
        <w:t>/</w:t>
      </w:r>
      <w:r>
        <w:rPr>
          <w:szCs w:val="22"/>
          <w:lang w:val="en-US"/>
        </w:rPr>
        <w:t>Circ</w:t>
      </w:r>
      <w:r>
        <w:rPr>
          <w:szCs w:val="22"/>
        </w:rPr>
        <w:t xml:space="preserve">. 670: 1995; </w:t>
      </w:r>
      <w:r>
        <w:rPr>
          <w:szCs w:val="22"/>
          <w:lang w:val="en-US"/>
        </w:rPr>
        <w:t>MSC</w:t>
      </w:r>
      <w:r>
        <w:rPr>
          <w:szCs w:val="22"/>
        </w:rPr>
        <w:t>/</w:t>
      </w:r>
      <w:r>
        <w:rPr>
          <w:szCs w:val="22"/>
          <w:lang w:val="en-US"/>
        </w:rPr>
        <w:t>Circ</w:t>
      </w:r>
      <w:r>
        <w:rPr>
          <w:szCs w:val="22"/>
        </w:rPr>
        <w:t>. 798: 1997 [11-13].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4"/>
        </w:rPr>
      </w:pPr>
      <w:r>
        <w:rPr>
          <w:b/>
          <w:bCs/>
          <w:szCs w:val="24"/>
        </w:rPr>
        <w:t>1. ОБЩИЕ ПОЛОЖЕНИЯ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1.1. Пенообразователи представляют собой концентрированные водные растворы поверхностно-активных веществ (ПАВ) со стабилизирующими добавками и предназначены для получения пены или растворов смачивателей, используемых при тушении пожаров.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1.2. В рекомендациях приводятся пенообразователи, в настоящее время выпускаемые промышленностью России и рекомендованные для применения в подразделениях ГПС (прил. А).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>Пенообразователи синтетические углеводородные общего назначения: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ПО-ЗНП (ТУ 38-00-05807999-20-93); ПО-6ТС (ТУ 0258-147-05744685-98); ПО-6ОСТ (марки 1 и 2) (ТУ 2481-006-22299560-00); ПО-3ОСТ (ТУ 2481-013-22299560-2004); ТЭАС (ТУ 2481-005-45811049-01 с изм. № 1-3); «Ялан» (ТУ 2481-019-22657427-2003); ПО-6У (ТУ 2481-001-14532723-2003); ПО-6РП (ТУ 2481-001-57525935-2004); «Урал Стандарт» (ТУ 2481-007-53675123-03), «Файрэкс» (ТУ 2481-203-05744685-2003), ПО-6СБ (ТУ 2481-300-00204197-2004), ПО-6ВАС (ТУ 2481-045-05807999-2005), ПО-6РЗ (ТУ 2481-001-78148123-2005), ПО-3БТ (ТУ 2481-026-22657427-2005), ПО-6СП (ТУ 2481-001-74779329-2005), «Ликвид» (ТУ 2481-078-10968286-2000), «Пенофор-ОН» (марки 1 и 2) (ТУ 2481-003-39428955-2004), «Натиск ОН» (ТУ 2480-003-59612419-2003), ПО-НСВ (ТУ 2481-008-49888190-2005).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>Пенообразователи синтетические углеводородные целевого назначения: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ПО-6НП (ТУ 38-00-05807999-33-95); ПО-6НП-М (ТУ 2481-015-05807999-99); ПО-6МТ (ТУ 0258-164-05744685-99); ПО-6ЦТ (ТУ 0258-148-05744685-98); ПО-6ТС-В (ТУ 2481-186-05744685-2002); ПО-6ТС-М (ТУ 2481-188-05744685-2002); ПО-6ЦНТ (ТУ 2481-002-2229560-99); ПО-6ЦВУ (ТУ 2481-007-22299560-00); ПО-6ЦСТ (ТУ 2481-012-22299560-2004); ТЭАС-Н (ТУ 2481-005-45811049-01 с изм. № 1-3); ТЭАС-С (ТУ 2481-005-45811049-01 с изм. № 1-3); «Морпен» (ТУ 2481-006-45811049-2002 (взамен ТУ 0258-001-01013393-94 с изм. № 1)); «Урал Стандарт ННП» (ТУ 2481-006-53675123-03), ПО-6НПС (ТУ 2481-046-05807999-2005), ПО-6УМ (2481-002-14532723-2004), ПО-6ЦБТ (ТУ 2481-024-22657427-2004), ПО-6РЗМ (ТУ 2481-002-78148123-2005), ПО-6ЦБТ-М (ТУ 2481-028-22657427-2005), ПО-6ЦБТ-Н (ТУ 2481-027-22657427-2005), ПО-6СПМ (ТУ 2481-003-74779329-2005), ПО-6СПС (ТУ 2481-002-74779329-2005), ПО-4ЦМТ (ранее - «Морпен») (ТУ 2481-008-2229956-02 с изм. № 1).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>Пенообразователи синтетические фторсодержащие пленкообразующие целевого назначения: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ПО-6ТФ (ТУ 2412-190-05744685-2002); ПО-6ЦФ (ТУ 2412-010-22299560-2003); П</w:t>
      </w:r>
      <w:r>
        <w:rPr>
          <w:szCs w:val="24"/>
          <w:lang w:val="en-US"/>
        </w:rPr>
        <w:t>O</w:t>
      </w:r>
      <w:r>
        <w:rPr>
          <w:szCs w:val="24"/>
        </w:rPr>
        <w:t>-6</w:t>
      </w:r>
      <w:r>
        <w:rPr>
          <w:szCs w:val="24"/>
          <w:lang w:val="en-US"/>
        </w:rPr>
        <w:t>A</w:t>
      </w:r>
      <w:r>
        <w:rPr>
          <w:szCs w:val="24"/>
        </w:rPr>
        <w:t>3</w:t>
      </w:r>
      <w:r>
        <w:rPr>
          <w:szCs w:val="24"/>
          <w:lang w:val="en-US"/>
        </w:rPr>
        <w:t>F</w:t>
      </w:r>
      <w:r>
        <w:rPr>
          <w:szCs w:val="24"/>
        </w:rPr>
        <w:t xml:space="preserve"> (ТУ 2412-002-49888190-98); «Меркуловский» (ТУ 2412-005-49888190-01); «Нижегородский </w:t>
      </w:r>
      <w:r>
        <w:rPr>
          <w:szCs w:val="24"/>
          <w:lang w:val="en-US"/>
        </w:rPr>
        <w:t>AFFF</w:t>
      </w:r>
      <w:r>
        <w:rPr>
          <w:szCs w:val="24"/>
        </w:rPr>
        <w:t>» (ТУ 2412-004-53675123-02); «Мультипена» (ТУ 2480-002-34998211-01), ПО-6ЦБФ (ТУ 2412-025-22657427-2004), ПО-РЗФ (ТУ 2412-003-78148123-2005), «Натиск НК» (ТУ 2480-002-59612419-2003), «Натиск НСК» (ТУ 2480-001-59612419-2003), «Шторм-Ф» (ТУ 2480-001-58473364-03), «Шторм-М» (ТУ 2480-002-58473364-03).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 xml:space="preserve">Пенообразователи синтетические фторсодержащие пленкообразующие для тушения </w:t>
      </w:r>
      <w:r>
        <w:rPr>
          <w:i/>
          <w:iCs/>
          <w:szCs w:val="24"/>
        </w:rPr>
        <w:lastRenderedPageBreak/>
        <w:t>водорастворимых (полярных) горючих жидкостей: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ПО-6ТФ-У (ТУ 2412-191-05744685-2002); ПО-6ЦФП (ТУ 2412-011-22299560-2003); «</w:t>
      </w:r>
      <w:proofErr w:type="gramStart"/>
      <w:r>
        <w:rPr>
          <w:szCs w:val="24"/>
        </w:rPr>
        <w:t>Полярный</w:t>
      </w:r>
      <w:proofErr w:type="gramEnd"/>
      <w:r>
        <w:rPr>
          <w:szCs w:val="24"/>
        </w:rPr>
        <w:t xml:space="preserve">» (ТУ 2412-004-49888190-01); «Пенофор» (ТУ 2412-001-39428955-2003); «Нижегородский </w:t>
      </w:r>
      <w:r>
        <w:rPr>
          <w:szCs w:val="24"/>
          <w:lang w:val="en-US"/>
        </w:rPr>
        <w:t>AFFF</w:t>
      </w:r>
      <w:r>
        <w:rPr>
          <w:szCs w:val="24"/>
        </w:rPr>
        <w:t xml:space="preserve"> универсальный» (ТУ 2412-005-53675123-03), ПО-РЗП (ТУ 2412-004-78148123-2005).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>Пенообразователи протеиновые (в том числе фторпротеиновые):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«</w:t>
      </w:r>
      <w:proofErr w:type="gramStart"/>
      <w:r>
        <w:rPr>
          <w:szCs w:val="24"/>
        </w:rPr>
        <w:t>Нижегородский</w:t>
      </w:r>
      <w:proofErr w:type="gramEnd"/>
      <w:r>
        <w:rPr>
          <w:szCs w:val="24"/>
        </w:rPr>
        <w:t xml:space="preserve"> </w:t>
      </w:r>
      <w:r>
        <w:rPr>
          <w:szCs w:val="24"/>
          <w:lang w:val="en-US"/>
        </w:rPr>
        <w:t>FFFP</w:t>
      </w:r>
      <w:r>
        <w:rPr>
          <w:szCs w:val="24"/>
        </w:rPr>
        <w:t>» (ТУ 4854-001-53675123-00).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Требования настоящих рекомендаций распространяются также на зарубежные пенообразователи, имеющие российские сертификаты пожарной безопасности (прил. Б).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6"/>
        </w:rPr>
        <w:t>1.3. Классификация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1.3.1. Пенообразователи в зависимости от химического состава (поверхностно-активной основы) подразделяются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следующие: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синтетические;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фторсинтетические;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протеиновые;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фторпротеиновые.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1.3.2. Пенообразователи в зависимости от способности образовывать огнетушащую пену на стандартном пожарном оборудовании подразделяются на виды: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тушения пожаров пеной низкой кратности (не более 20);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тушения пожаров пеной средней кратности (от 21 до 200);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тушения пожаров пеной высокой кратности (более 200).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1.3.3. Пенообразователи в зависимости от использования при тушении пожаров различных классов по ГОСТ 27331 [14] подразделяются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следующие: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тушения пожаров класса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>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тушения пожаров класса</w:t>
      </w:r>
      <w:proofErr w:type="gramStart"/>
      <w:r>
        <w:rPr>
          <w:szCs w:val="24"/>
        </w:rPr>
        <w:t xml:space="preserve"> В</w:t>
      </w:r>
      <w:proofErr w:type="gramEnd"/>
      <w:r>
        <w:rPr>
          <w:szCs w:val="24"/>
        </w:rPr>
        <w:t xml:space="preserve"> (при испытаниях в качестве эталонной углеводородной горючей жидкости используют: н-гептан, бензин А-76 или АИ-80, а в качестве водорастворимой (полярной) горючей жидкости - ацетон).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1.3.4. Пенообразователи в зависимости от возможности использования воды с различным содержанием неорганических солей подразделяются на типы: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получения огнетушащей пены с использованием питьевой воды (жесткость воды не более 7 мг-экв·дм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 (7 °Ж) по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52029) [15];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получения огнетушащей пены с использованием жесткой воды (прил. В);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для получения огнетушащей пены с использованием морской воды (прил. Г).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1.3.5. Пенообразователи в зависимости от способности разлагаться под действием микрофлоры водоемов и почв согласно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50595 [16] подразделяются на следующие: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быстроразлагаемые;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умеренноразлагаемые;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медленноразлагаемые;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чрезвычайно медленноразлагаемые.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1.3.6. Пенообразователи для тушения пожаров по совокупности показателей назначения подразделяются на классификационные группы в зависимости от применения (согласно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50588):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синтетические углеводородные общего назначения;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целевого назначения:</w:t>
      </w:r>
    </w:p>
    <w:p w:rsidR="00FF3B2D" w:rsidRDefault="00B60BD4">
      <w:pPr>
        <w:shd w:val="clear" w:color="auto" w:fill="FFFFFF"/>
        <w:ind w:left="284" w:firstLine="283"/>
        <w:jc w:val="both"/>
        <w:rPr>
          <w:szCs w:val="24"/>
        </w:rPr>
      </w:pPr>
      <w:r>
        <w:rPr>
          <w:szCs w:val="24"/>
        </w:rPr>
        <w:t>- синтетические углеводородные (для использования с морской водой, для использования при низких температурах, с повышенной огнетушащей способностью, для тушения пеной высокой кратности и т. д.);</w:t>
      </w:r>
    </w:p>
    <w:p w:rsidR="00FF3B2D" w:rsidRDefault="00B60BD4">
      <w:pPr>
        <w:shd w:val="clear" w:color="auto" w:fill="FFFFFF"/>
        <w:ind w:left="284" w:firstLine="283"/>
        <w:jc w:val="both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синтетические</w:t>
      </w:r>
      <w:proofErr w:type="gramEnd"/>
      <w:r>
        <w:rPr>
          <w:szCs w:val="24"/>
        </w:rPr>
        <w:t xml:space="preserve"> фторсодержащие пленкообразующие (тип </w:t>
      </w:r>
      <w:r>
        <w:rPr>
          <w:szCs w:val="24"/>
          <w:lang w:val="en-US"/>
        </w:rPr>
        <w:t>AFFF</w:t>
      </w:r>
      <w:r>
        <w:rPr>
          <w:szCs w:val="24"/>
        </w:rPr>
        <w:t>);</w:t>
      </w:r>
    </w:p>
    <w:p w:rsidR="00FF3B2D" w:rsidRDefault="00B60BD4">
      <w:pPr>
        <w:shd w:val="clear" w:color="auto" w:fill="FFFFFF"/>
        <w:ind w:left="284" w:firstLine="283"/>
        <w:jc w:val="both"/>
        <w:rPr>
          <w:szCs w:val="24"/>
        </w:rPr>
      </w:pPr>
      <w:proofErr w:type="gramStart"/>
      <w:r>
        <w:rPr>
          <w:szCs w:val="24"/>
        </w:rPr>
        <w:t xml:space="preserve">- синтетические фторсодержащие пленкообразующие для тушения водорастворимых (полярных) горючих жидкостей (тип </w:t>
      </w:r>
      <w:r>
        <w:rPr>
          <w:szCs w:val="24"/>
          <w:lang w:val="en-US"/>
        </w:rPr>
        <w:t>AR</w:t>
      </w:r>
      <w:r>
        <w:rPr>
          <w:szCs w:val="24"/>
        </w:rPr>
        <w:t>);</w:t>
      </w:r>
      <w:proofErr w:type="gramEnd"/>
    </w:p>
    <w:p w:rsidR="00FF3B2D" w:rsidRDefault="00B60BD4">
      <w:pPr>
        <w:shd w:val="clear" w:color="auto" w:fill="FFFFFF"/>
        <w:ind w:left="284" w:firstLine="283"/>
        <w:jc w:val="both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протеиновые</w:t>
      </w:r>
      <w:proofErr w:type="gramEnd"/>
      <w:r>
        <w:rPr>
          <w:szCs w:val="24"/>
        </w:rPr>
        <w:t xml:space="preserve"> (в том числе фторпротеиновые).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 способности разлагаться под действием микрофлоры водоемов и почв пенообразователи относят к биологически «мягким» (быстроразлагаемые, умеренноразлагаемые) или «жестким» (медленноразлагаемые, чрезвычайно медленноразлагаемые).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4"/>
        </w:rPr>
        <w:t>1.4. Пенообразователи синтетические углеводородные общего назначения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1.4.1. Используются для получения огнетушащей пены и растворов смачивателей. Данные </w:t>
      </w:r>
      <w:r>
        <w:rPr>
          <w:szCs w:val="24"/>
        </w:rPr>
        <w:lastRenderedPageBreak/>
        <w:t>пенообразователи получили наиболее широкое применение благодаря относительно низкой стоимости и доступности сырья, а также отработанной технологии их изготовления. По огнетушащей эффективности они уступают пенообразователям целевого назначения. Пенообразователи содержат анионные углеводородные ПАВ (в основном первичные и вторичные алкилсульфаты) с добавлением ингибитора коррозии.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1.4.2. Пенообразователи с рабочей концентрацией менее 6 % (например, ПО-3НП, ПО-3ОСТ, ПО-6ТС (3 %) и др.) при использовании их в пенобаках пожарных машин, не имеющих дозаторов на меньшую концентрацию, необходимо предварительно разбавить водой с учетом ее жесткости.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1.4.3. В соответствии с действующей нормативно-технической документацией пенообразователи синтетические углеводородные общего назначения по своим показателям должны отвечать нормам, указанным в табл. 1 прил. А.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4"/>
        </w:rPr>
        <w:t>1.5. Пенообразователи синтетические углеводородные целевого назначения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1.5.1. Используются для получения пены при тушении нефтепродуктов и горючих жидкостей различных классов, а также с морской водой, при низких температурах, для тушения пеной высокой кратности; обладают повышенной огнетушащей способностью.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Пенообразователи содержат смесь углеводородных ПАВ со стабилизирующими добавками.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1.5.2. В соответствии с действующей нормативно-технической документацией пенообразователи синтетические углеводородные целевого назначения по своим показателям должны отвечать нормам, приведенным в табл. 2-3 прил. А.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4"/>
        </w:rPr>
        <w:t>1.6. Пенообразователи синтетические фторсодержащие пленкообразующие целевого назначения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1.6.1. Используются для получения пены при тушении нефтепродуктов и горючих жидкостей различных классов, кроме водорастворимых (полярных) горючих жидкостей.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Все пенообразователи синтетические фторсодержащие пленкообразующие целевого назначения отличаются повышенной огнетушащей эффективностью. Пенообразователи состоят из смеси углеводородных и фторсодержащих ПАВ.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1.6.2. В соответствии с действующей нормативно-технической документацией пенообразователи синтетические фторсодержащие пленкообразующие целевого назначения по своим показателям должны отвечать нормам, приведенным в табл. 4-5 прил. А.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b/>
          <w:bCs/>
          <w:szCs w:val="24"/>
        </w:rPr>
        <w:t>1.7. Пенообразователи синтетические фторсодержащие пленкообразующие целевого назначения для тушения водорастворимых (полярных) горючих жидкостей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1.7.1. Используются для получения пены при тушении нефтепродуктов и водорастворимых (полярных) горючих жидкостей (спирты, эфиры, кетоны и др.).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Все пенообразователи синтетические фторсодержащие пленкообразующие для тушения водорастворимых (полярных) горючих жидкостей отличаются повышенной огнетушащей эффективностью. Пенообразователи содержат смесь фторированных и углеводородных ПАВ с добавками полимерных соединений.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1.7.2. В соответствии с действующей нормативно-технической документацией пенообразователи синтетические фторсодержащие пленкообразующие для тушения водорастворимых (полярных) горючих жидкостей по своим показателям должны отвечать нормам, приведенным в табл. 6 прил. А.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b/>
          <w:bCs/>
          <w:szCs w:val="24"/>
        </w:rPr>
        <w:t>1.8. Пенообразователи протеиновые (в том числе фторпротеиновые)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1.8.1. Используются для получения пены при тушении нефтепродуктов и других горючих жидкостей.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Фторпротеиновые пенообразователи отличаются повышенной огнетушащей эффективностью. Используются для тушения полярных горючих жидкостей, если смеси протеинов, фторсодержащих и углеводородных ПАВ содержат дополнительно добавки полимерных соединений.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1.8.2. Характеристики фторпротеинового пенообразователя, в соответствии с действующей нормативно-технической документацией, приведены в табл. 7 прил. А.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4"/>
        </w:rPr>
      </w:pPr>
      <w:r>
        <w:rPr>
          <w:b/>
          <w:bCs/>
          <w:szCs w:val="24"/>
        </w:rPr>
        <w:t>2. ПОРЯДОК ПРИМЕНЕНИЯ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4"/>
        </w:rPr>
        <w:t>2.1. Пенообразователи синтетические углеводородные общего назначения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2.1.1. Данные пенообразователи используются для получения пены различной кратности и </w:t>
      </w:r>
      <w:r>
        <w:rPr>
          <w:szCs w:val="24"/>
        </w:rPr>
        <w:lastRenderedPageBreak/>
        <w:t>растворов смачивателей при тушении горючих жидкостей, твердых горючих материалов, волокнистых и тлеющих веществ, для защиты строительных конструкций, технологических аппаратов и хранящихся материалов от воздействия тепловых потоков [17].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2.1.2. Пенообразователи синтетические углеводородные общего назначения могут образовывать пену низкой (не более 20), средней (21-200) и высокой (более 200) кратности.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2.1.3. Пенообразующие и огнетушащие свойства пенообразователей общего назначения в значительной мере зависят от жесткости воды (наличия солей кальция и магния), используемой для получения рабочих растворов (показатели жесткости воды по регионам страны определяются в органах Роспотребнадзора и Водоканалтреста на местах). С увеличением жесткости воды (жесткость воды более 7 мг-экв·дм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3</w:t>
      </w:r>
      <w:r>
        <w:rPr>
          <w:szCs w:val="24"/>
        </w:rPr>
        <w:t>) снижаются пенообразующие и огнетушащие свойства пенообразователей [18]. Сохранение этих свойств возможно за счет увеличения концентрации рабочих растворов (в каждом конкретном случае увеличение концентрации определяется дополнительно) (см. таблицу).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Использование морской воды и воды с повышенной жесткостью (более 30 мг-экв·дм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3</w:t>
      </w:r>
      <w:r>
        <w:rPr>
          <w:szCs w:val="24"/>
        </w:rPr>
        <w:t>) для получения пены из пенообразователей общего назначения в целях пожаротушения запрещено.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</w:rPr>
      </w:pPr>
      <w:r>
        <w:rPr>
          <w:b/>
          <w:bCs/>
        </w:rPr>
        <w:t>Концентрация рабочих растворов пенообразователей на воде различной жесткости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0"/>
        <w:gridCol w:w="3017"/>
        <w:gridCol w:w="3054"/>
      </w:tblGrid>
      <w:tr w:rsidR="00FF3B2D">
        <w:trPr>
          <w:cantSplit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>Пенообразователь</w:t>
            </w:r>
          </w:p>
        </w:tc>
        <w:tc>
          <w:tcPr>
            <w:tcW w:w="4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>Концентрация, % (</w:t>
            </w:r>
            <w:proofErr w:type="gramStart"/>
            <w:r>
              <w:rPr>
                <w:szCs w:val="18"/>
              </w:rPr>
              <w:t>об</w:t>
            </w:r>
            <w:proofErr w:type="gramEnd"/>
            <w:r>
              <w:rPr>
                <w:szCs w:val="18"/>
              </w:rPr>
              <w:t xml:space="preserve">), </w:t>
            </w:r>
            <w:proofErr w:type="gramStart"/>
            <w:r>
              <w:rPr>
                <w:szCs w:val="18"/>
              </w:rPr>
              <w:t>при</w:t>
            </w:r>
            <w:proofErr w:type="gramEnd"/>
            <w:r>
              <w:rPr>
                <w:szCs w:val="18"/>
              </w:rPr>
              <w:t xml:space="preserve"> жесткости воды, </w:t>
            </w:r>
            <w:r>
              <w:rPr>
                <w:szCs w:val="24"/>
              </w:rPr>
              <w:t>мг-экв·дм</w:t>
            </w:r>
            <w:r>
              <w:rPr>
                <w:szCs w:val="24"/>
                <w:vertAlign w:val="superscript"/>
              </w:rPr>
              <w:sym w:font="Symbol" w:char="F02D"/>
            </w:r>
            <w:r>
              <w:rPr>
                <w:szCs w:val="24"/>
                <w:vertAlign w:val="superscript"/>
              </w:rPr>
              <w:t>3</w:t>
            </w:r>
          </w:p>
        </w:tc>
      </w:tr>
      <w:tr w:rsidR="00FF3B2D">
        <w:trPr>
          <w:cantSplit/>
        </w:trPr>
        <w:tc>
          <w:tcPr>
            <w:tcW w:w="23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both"/>
              <w:rPr>
                <w:szCs w:val="24"/>
              </w:rPr>
            </w:pPr>
          </w:p>
          <w:p w:rsidR="00FF3B2D" w:rsidRDefault="00FF3B2D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10-15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15-30</w:t>
            </w:r>
          </w:p>
        </w:tc>
      </w:tr>
      <w:tr w:rsidR="00FF3B2D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ПО-3НП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4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</w:t>
            </w:r>
          </w:p>
        </w:tc>
      </w:tr>
      <w:tr w:rsidR="00FF3B2D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ТЭАС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</w:t>
            </w:r>
          </w:p>
        </w:tc>
      </w:tr>
      <w:tr w:rsidR="00FF3B2D"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ПО-6ТС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2.1.4. Возможность использования оборотной воды предприятий для получения рабочих растворов пенообразователей необходимо определить заранее в каждом конкретном случае. Вода для приготовления раствора не должна содержать примеси нефти и нефтепродуктов.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2.1.5. Рабочие растворы пенообразователей предварительно готовят в предназначенной для этого емкости, например в цистерне пожарной автомашины, либо получают с помощью пеносмесителей и дозирующих устройств.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2.1.6. Для получения пены низкой кратности применяются стволы, генераторы, пенные оросители. Пену средней кратности получают с помощью генераторов типа ГПС. Допускается использование пеногенераторов, прошедших испытания и рекомендованных к применению в установленном порядке (например, установки комбинированного тушения «Пурга»). Ствол для пены средней кратности, описанный в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50588, используется для определения времени тушения. Пена высокой кратности получается на пеногенераторах с наддувом воздуха и пеногенераторах эжекционного типа. Схема установки для получения пены высокой кратности в лабораторных условиях представлена в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2.1.7. При использовании пенообразователей синтетических углеводородных общего назначения основным средством тушения жидких нефтепродуктов является пена средней кратности. Пена низкой кратности менее эффективна (в 2-4 раза), особенно при тушении жидкостей с низкой температурой кипения.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Пену средней кратности можно использовать не только для поверхностного, но и для объемного тушения пожаров. Для объемного тушения используется также пена высокой кратности. Низкократная пена из пенообразователей этого класса используется при тушении пламени высококипящих жидких нефтепродуктов, твердых горючих материалов, а также для охлаждения горящего и соседнего с ним резервуаров.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Нормативная интенсивность подачи пены средней кратности при тушении зависит от типа пенообразователя и вида горючей жидкости [19, 20]. Рекомендуемые показатели нормативной интенсивности для тушения нефти, нефтепродуктов и органических жидкостей различных классов приводятся в справочном пособии [21]. Там же указаны значения концентрации ряда водорастворимых жидкостей, при которых возможно применение пенообразователей общего назначения.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 справочном пособии [22] даются усредненные значения интенсивности подачи пены средней кратности из пенообразователей синтетических углеводородных общего назначения: при тушении нефти и нефтепродуктов с температурой вспышки 28</w:t>
      </w:r>
      <w:proofErr w:type="gramStart"/>
      <w:r>
        <w:rPr>
          <w:szCs w:val="24"/>
        </w:rPr>
        <w:t xml:space="preserve"> °С</w:t>
      </w:r>
      <w:proofErr w:type="gramEnd"/>
      <w:r>
        <w:rPr>
          <w:szCs w:val="24"/>
        </w:rPr>
        <w:t xml:space="preserve"> и ниже - 0,08 дм</w:t>
      </w:r>
      <w:r>
        <w:rPr>
          <w:szCs w:val="24"/>
          <w:vertAlign w:val="superscript"/>
        </w:rPr>
        <w:t>3</w:t>
      </w:r>
      <w:r>
        <w:rPr>
          <w:szCs w:val="24"/>
        </w:rPr>
        <w:t>·м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2</w:t>
      </w:r>
      <w:r>
        <w:rPr>
          <w:szCs w:val="24"/>
        </w:rPr>
        <w:t>·с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1</w:t>
      </w:r>
      <w:r>
        <w:rPr>
          <w:szCs w:val="24"/>
        </w:rPr>
        <w:t>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2.1.8. </w:t>
      </w:r>
      <w:proofErr w:type="gramStart"/>
      <w:r>
        <w:rPr>
          <w:szCs w:val="24"/>
        </w:rPr>
        <w:t xml:space="preserve">Пенообразователи синтетические углеводородные общего назначения, в том числе забракованные и не подлежащие регенерации, используют в качестве растворов смачивателей при тушении волокнистых гидрофобных (водоотталкивающих) горючих материалов (торф, хлопок, вата, ткань, бумага, древесина и т. п.), их рабочие концентрации указаны в табл. 1 прил. </w:t>
      </w:r>
      <w:r>
        <w:rPr>
          <w:szCs w:val="24"/>
        </w:rPr>
        <w:lastRenderedPageBreak/>
        <w:t>А. Это в 1,5-2 раза повышает эффективность тушения водой.</w:t>
      </w:r>
      <w:proofErr w:type="gramEnd"/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4"/>
        </w:rPr>
        <w:t>2.2. Пенообразователи целевого назначения: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пенообразователи синтетические углеводородные (для использования с морской водой, для использования при низких температурах, с повышенной огнетушащей способностью, для тушения пеной высокой кратности и т. д.);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синтетические фторсодержащие пленкообразующие;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szCs w:val="24"/>
        </w:rPr>
        <w:t>- синтетические фторсодержащие пленкообразующие для тушения водорастворимых (полярных) горючих жидкостей;</w:t>
      </w:r>
      <w:proofErr w:type="gramEnd"/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протеиновые</w:t>
      </w:r>
      <w:proofErr w:type="gramEnd"/>
      <w:r>
        <w:rPr>
          <w:szCs w:val="24"/>
        </w:rPr>
        <w:t xml:space="preserve"> (в том числе фторпротеиновые).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2.2.1. Данные пенообразователи целесообразно использовать в соответствии с назначением, указанным в технических условиях.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2.2.2. Пенообразователи ПО-6НП, ПО-6ЦБТ, ПО-6НПС, «Урал Стандарт ННП», ПО-6ЦВУ, ПО-6ЦТ, ПО-6ЦСТ, ПО-6ТС-В, ПО-6СПС предназначены для получения пены низкой, средней и высокой кратности. Они имеют повышенную огнетушащую способность и применяются при тушении нефтепродуктов, легковоспламеняющихся и горючих жидкостей и пожароопасных объектов. </w:t>
      </w:r>
      <w:proofErr w:type="gramStart"/>
      <w:r>
        <w:rPr>
          <w:szCs w:val="24"/>
        </w:rPr>
        <w:t>Данные пенообразователи эффективны при объемном тушении; могут применяться при тушении водорастворимых органических жидкостей, предварительно разбавленных водой или рабочим раствором пенообразователя (в каждом конкретном случае необходимо проведение испытаний по определению концентрации разбавленной горючей жидкости и интенсивности подачи пенообразователя [23].</w:t>
      </w:r>
      <w:proofErr w:type="gramEnd"/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2.2.3. Пенообразователи П0-6ТС-М, ПО-6НП-М, «Морпен», ПО-4ЦМТ, «Урал Стандарт ННП» предназначены для получения пены низкой, средней и высокой кратности на стандартном оборудовании с использованием морской и пресной воды. Они применяются для тушения пожаров классов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и В. Эти пенообразователи можно использовать с морской водой при тушении пожаров на морских и речных судах, нефтегазодобывающих установках, расположенных в акватории моря, а также на прибрежных объектах, в зоне размещения которых существует дефицит пресной воды, в районах с повышенным содержанием в воде солей кальция и магния. Нормативная интенсивность подачи рабочего раствора при тушении углеводородных жидкостей пеной средней кратности составляет не более 0,08 дм</w:t>
      </w:r>
      <w:r>
        <w:rPr>
          <w:szCs w:val="24"/>
          <w:vertAlign w:val="superscript"/>
        </w:rPr>
        <w:t>3</w:t>
      </w:r>
      <w:r>
        <w:rPr>
          <w:szCs w:val="24"/>
        </w:rPr>
        <w:t>·м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2</w:t>
      </w:r>
      <w:r>
        <w:rPr>
          <w:szCs w:val="24"/>
        </w:rPr>
        <w:t>·с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1</w:t>
      </w:r>
      <w:r>
        <w:rPr>
          <w:szCs w:val="24"/>
        </w:rPr>
        <w:t>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2.2.4. Низкотемпературные пенообразователи общего и целевого назначения (температура застывания </w:t>
      </w:r>
      <w:r>
        <w:rPr>
          <w:szCs w:val="24"/>
        </w:rPr>
        <w:sym w:font="Symbol" w:char="F0A3"/>
      </w:r>
      <w:r>
        <w:rPr>
          <w:szCs w:val="24"/>
        </w:rPr>
        <w:t xml:space="preserve"> минус 15 °С) ПО-6ОСТ (марка 2), ПО-6ЦНТ, ПО-6МТ, ТЭАС-Н, ТЭАС-С, ПО-6ЦСТ (марка 2), ПО-6УМ, ПО-6ЦБТ-Н предназначены для получения пены низкой, средней и высокой кратности на стандартном оборудовании при тушении пожаров классов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и </w:t>
      </w:r>
      <w:r>
        <w:rPr>
          <w:szCs w:val="24"/>
          <w:lang w:val="en-US"/>
        </w:rPr>
        <w:t>B</w:t>
      </w:r>
      <w:r>
        <w:rPr>
          <w:szCs w:val="24"/>
        </w:rPr>
        <w:t xml:space="preserve"> в районах Севера, Сибири и Дальнего Востока.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Нормативная интенсивность подачи рабочего раствора при тушении углеводородных жидкостей пеной средней кратности составляет не более 0,08 дм</w:t>
      </w:r>
      <w:r>
        <w:rPr>
          <w:szCs w:val="24"/>
          <w:vertAlign w:val="superscript"/>
        </w:rPr>
        <w:t>3</w:t>
      </w:r>
      <w:r>
        <w:rPr>
          <w:szCs w:val="24"/>
        </w:rPr>
        <w:t>·м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2</w:t>
      </w:r>
      <w:r>
        <w:rPr>
          <w:szCs w:val="24"/>
        </w:rPr>
        <w:t>·с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1</w:t>
      </w:r>
      <w:r>
        <w:rPr>
          <w:szCs w:val="24"/>
        </w:rPr>
        <w:t>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2.2.5. Синтетические фторсодержащие пленкообразующие пенообразователи целевого назначения ПО-6ЦФ, «Нижегородский </w:t>
      </w:r>
      <w:r>
        <w:rPr>
          <w:szCs w:val="24"/>
          <w:lang w:val="en-US"/>
        </w:rPr>
        <w:t>AFFF</w:t>
      </w:r>
      <w:r>
        <w:rPr>
          <w:szCs w:val="24"/>
        </w:rPr>
        <w:t>», «Меркуловский», «Мультипена», П</w:t>
      </w:r>
      <w:r>
        <w:rPr>
          <w:szCs w:val="24"/>
          <w:lang w:val="en-US"/>
        </w:rPr>
        <w:t>O</w:t>
      </w:r>
      <w:r>
        <w:rPr>
          <w:szCs w:val="24"/>
        </w:rPr>
        <w:t>-6</w:t>
      </w:r>
      <w:r>
        <w:rPr>
          <w:szCs w:val="24"/>
          <w:lang w:val="en-US"/>
        </w:rPr>
        <w:t>A</w:t>
      </w:r>
      <w:r>
        <w:rPr>
          <w:szCs w:val="24"/>
        </w:rPr>
        <w:t>3</w:t>
      </w:r>
      <w:r>
        <w:rPr>
          <w:szCs w:val="24"/>
          <w:lang w:val="en-US"/>
        </w:rPr>
        <w:t>F</w:t>
      </w:r>
      <w:r>
        <w:rPr>
          <w:szCs w:val="24"/>
        </w:rPr>
        <w:t>, ПО-6ТФ, ПО-6ЦБФ, ПО-РЗФ, «Натиск НК», «Натиск НСК», «Шторм-Ф», «Шторм-М» образуют пену низкой и средней или только низкой кратности. Используются при тушении всех классов органических жидкостей, кроме химически взаимодействующих с водой и полярных жидкостей. Они способны образовывать на поверхности нефтепродуктов водную пленку, ускоряющую их тушение и препятствующую повторному возгоранию, обеспечивают высокую эффективность тушения при малом расходе.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2.2.6. Синтетические фторсодержащие пленкообразующие пенообразователи целевого назначения для тушения водорастворимых (полярных) горючих жидкостей ПО-6ТФ-У, ПО-6ЦФП, «Полярный», «Пенофор», «Нижегородский </w:t>
      </w:r>
      <w:r>
        <w:rPr>
          <w:szCs w:val="24"/>
          <w:lang w:val="en-US"/>
        </w:rPr>
        <w:t>AFFF</w:t>
      </w:r>
      <w:r>
        <w:rPr>
          <w:szCs w:val="24"/>
        </w:rPr>
        <w:t xml:space="preserve"> универсальный», ПО-РЗП предназначены для тушения пожаров классов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и В с применением пены низкой и средней кратности, включая тушение углеводородных топлив и водорастворимых (полярных) жидкостей (пожары класса В). Они способны образовывать на поверхности водорастворимых (полярных) горючих жидкостей полимерную пленку, ускоряющую их тушение и препятствующую повторному возгоранию [24].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Кроме традиционных способов тушения, подачи пены сверху в очаг горения, фторсодержащие пенообразователи могут использоваться для тушения пожаров углеводородных горючих жидкостей в резервуарах подслойным способом [25]. Для получения пены низкой кратности применяются высоконапорные генераторы (НПБ 61-97) [26], позволяющие подавать ее в слой горючего. Для приготовления раствора из отечественных пенообразователей в системах подслойного тушения запрещается использовать воду жесткостью более 30 мг-экв·дм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3</w:t>
      </w:r>
      <w:r>
        <w:rPr>
          <w:szCs w:val="24"/>
        </w:rPr>
        <w:t>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lastRenderedPageBreak/>
        <w:t xml:space="preserve">Пенообразователи, состоящие из пенообразующей протеиновой основы и фторсодержащих ПАВ, относятся к фторпротеиновым. Пенообразователь «Нижегородский </w:t>
      </w:r>
      <w:r>
        <w:rPr>
          <w:szCs w:val="24"/>
          <w:lang w:val="en-US"/>
        </w:rPr>
        <w:t>FFFP</w:t>
      </w:r>
      <w:r>
        <w:rPr>
          <w:szCs w:val="24"/>
        </w:rPr>
        <w:t>» предназначен для получения пены низкой и средней кратности, обладающей высокой огнетушащей эффективностью.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Нормы подачи пены из пенообразователей при тушении нефти и нефтепродуктов приведены в прил. Д.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2.2.7. При тушении некоторых бинарных смесей органических жидкостей пеной из синтетических фторсодержащих пенообразователей огнетушащая способность может быть значительно ниже, чем при тушении составляющих компонентов. Например, при тушении пламени смеси уксусной кислоты и уксусного альдегида, состоящей из равных объемов компонентов, критическая интенсивность подачи в 3 раза больше, чем при тушении каждого отдельного компонента. Поэтому при определении нормы подачи пены для тушения пожаров в производственных условиях, где обращаются, как правило, смеси горючих веществ, необходимо учитывать наличие примесей, а также располагать сведениями по тушению пламени смесей при различных концентрациях компонентов [27-29].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2.2.8. Согласно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 максимальное значение кинематической вязкости для пенообразователей должно составлять не более 200 мм</w:t>
      </w:r>
      <w:r>
        <w:rPr>
          <w:szCs w:val="24"/>
          <w:vertAlign w:val="superscript"/>
        </w:rPr>
        <w:t>2</w:t>
      </w:r>
      <w:r>
        <w:rPr>
          <w:szCs w:val="24"/>
        </w:rPr>
        <w:t>/с. Это значение вязкости позволяет заливать пенообразователь в пенобак пожарной машины и точно его дозировать в необходимой рабочей концентрации при получении пены, используемой для тушения. Следует отметить, что значение 200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/с относится главным образом к ньютоновским жидкостям, вязкость которых при нагрузке не меняется.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Синтетические фторсодержащие пленкообразующие пенообразователи целевого назначения для тушения водорастворимых (полярных) горючих жидкостей с повышенной кинематической вязкостью (более 200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/с), являющиеся тиксотропными (неньютоновскими) жидкостями, вязкость которых при нагрузке (дозировании) меняется, могут дозироваться насосными установками пожарных автоцистерн [30,31].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Тиксотропные пенообразователи, вязкость которых снижается до 200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/с при испытаниях на ротационном вискозиметре (скорость вращения 60 об/мин), можно дозировать насосными установками пожарных автоцистерн при их заборе из посторонней емкости (или пенобака) без изменения рабочей концентрации.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При дозировании пенообразователей с полученной вязкостью, незначительно превышающей 200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/с (например, 220 мм</w:t>
      </w:r>
      <w:r>
        <w:rPr>
          <w:szCs w:val="24"/>
          <w:vertAlign w:val="superscript"/>
        </w:rPr>
        <w:t>2</w:t>
      </w:r>
      <w:r>
        <w:rPr>
          <w:szCs w:val="24"/>
        </w:rPr>
        <w:t>/с), рабочая концентрация пенообразователя снижается в среднем на 0,5 %.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Пенообразователи с вязкостью более 300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/с (полученной на ротационном вискозиметре) снижают концентрацию рабочего раствора при дозировании насосными установками пожарных автоцистерн в среднем на 0,8 %.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При использовании пожарных автоцистерн, имеющих автоматический дозатор, можно применять пенообразователи с повышенной вязкостью после тарировки узла дозирования с конкретным пенообразователем.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Так как величина концентрации рабочего раствора вязкого пенообразователя зависит не только от точности дозирования, но и от свойств самого пенообразователя (его полимерной добавки) и его растворимости в воде, возможность применения пенообразователей различных марок с вязкостью более 200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/с для пожаротушения должна определяться в каждом конкретном случае.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2.2.9. Почти все выпускаемые в России пенообразователи, содержащие фторированные ПАВ, изготавливаются на зарубежном сырье. Проблемы экологии, связанные с применением фторсодержащих пенообразователей (их токсичность, канцерогенность), обсуждаемые в США и европейских странах, требуют решения и в России. Все фторированные поверхностно-активные вещества, входящие в состав пенообразователей, - биологически неразлагаемые продукты, которые попадают в почву и водоемы и, не подвергаясь биораспаду бактериями на очистных сооружениях, способны нанести вред окружающей среде.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Высокоэффективные фторсодержащие пенообразователи следует применять на тех объектах, где нельзя без них обойтись. Израсходованный на тушение пожара пенообразователь должен быть собран и отправлен на завод для переработки или на полигон химических отходов.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4"/>
        </w:rPr>
      </w:pPr>
      <w:r>
        <w:rPr>
          <w:b/>
          <w:bCs/>
          <w:szCs w:val="24"/>
        </w:rPr>
        <w:t>3. ТРАНСПОРТИРОВАНИЕ И ХРАНЕНИЕ ПЕНООБРАЗОВАТЕЛЕЙ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Порядок транспортирования установлен существующими ведомственными Правилами перевозок грузов по железным дорогам, а также автомобильным транспортом. Согласно ГОСТ 19433 пенообразователи не относятся к опасным грузам [32].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lastRenderedPageBreak/>
        <w:t>3.1. Все пенообразователи транспортируют в железнодорожных цистернах, оборудованных универсальным сливным прибором, а также в металлических бочках и емкостях из полимерных материалов в крытых цельнометаллических вагонах или автомобилями [33].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Пенообразователи целевого назначения синтетические фторсодержащие перевозят в емкостях из полимерных материалов, нержавеющей стали, стекла, а также в металлических бочках с полимерным покрытием.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3.2. При перевозке железнодорожным транспортом в зимний период рекомендуется использовать цистерны, оснащенные системой пароподогрева.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При транспортировке пенообразователей в стеклянной таре необходимо исключить возможность их замерзания. Оптимальной температурой отогрева замерзшего в любой таре пенообразователя является 20-30 °С. Все пенообразователи при неоднократном замерзании и последующем постепенном оттаивании не теряют своих первоначальных свойств. Поступивший замерзший пенообразователь необходимо разморозить, не допуская при этом его разбавления и разложения, затем перемешать и после этого производить разгрузку. Для разогрева пенообразователя можно использовать паровой змеевик с отводом конденсата за пределы цистерны, при этом температура пенообразователя в цистерне не должна превышать 60 °С.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3.3. Тара, предназначенная для транспортирования и хранения пенообразователей, должна быть чистой, без следов нефтепродуктов и химреактивов.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Степень заполнения тары должна быть не более 95 % объема. После заполнения тара с пенообразователем должна быть герметично закрыта и опломбирована.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На каждой единице транспортной тары должна быть маркировка с указанием: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страны и предприятия-изготовителя;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названия (условное обозначение) пенообразователя;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даты изготовления;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номера партии;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массы брутто и нетто;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количества мест в партии и номера места (для бочек и емкостей из полимерных материалов);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нормативно-технического документа.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Документ о качестве (сертификат) на пенообразователь должен содержать данные о соответствии результатов испытаний нормам технических требований, установленных в нормативно-техническом документе.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3.4. Пенообразователи всех типов рекомендуется хранить в концентрированном виде в закрытых емкостях. Температура в помещениях хранения пенообразователей должна быть не выше 40</w:t>
      </w:r>
      <w:proofErr w:type="gramStart"/>
      <w:r>
        <w:rPr>
          <w:szCs w:val="24"/>
        </w:rPr>
        <w:t xml:space="preserve"> °С</w:t>
      </w:r>
      <w:proofErr w:type="gramEnd"/>
      <w:r>
        <w:rPr>
          <w:szCs w:val="24"/>
        </w:rPr>
        <w:t xml:space="preserve"> и не ниже 5 °С, что обеспечивает сохранность продукта и возможность немедленного его использования. С повышением средней температуры на каждые 10</w:t>
      </w:r>
      <w:proofErr w:type="gramStart"/>
      <w:r>
        <w:rPr>
          <w:szCs w:val="24"/>
        </w:rPr>
        <w:t xml:space="preserve"> °С</w:t>
      </w:r>
      <w:proofErr w:type="gramEnd"/>
      <w:r>
        <w:rPr>
          <w:szCs w:val="24"/>
        </w:rPr>
        <w:t xml:space="preserve"> срок их хранения уменьшается в 2 раза. Оптимальная температура хранения пенообразователей составляет 20 °С.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Наилучшая сохранность пенообразователей обеспечивается при их хранении в емкостях из нержавеющей стали или полимерных материалов, в том числе в стальных емкостях с внутренним полимерным покрытием. В этих условиях срок хранения пенообразователей должен составлять не менее 10 лет. Допускается хранение пенообразователей (</w:t>
      </w:r>
      <w:proofErr w:type="gramStart"/>
      <w:r>
        <w:rPr>
          <w:szCs w:val="24"/>
        </w:rPr>
        <w:t>кроме</w:t>
      </w:r>
      <w:proofErr w:type="gramEnd"/>
      <w:r>
        <w:rPr>
          <w:szCs w:val="24"/>
        </w:rPr>
        <w:t xml:space="preserve"> фторсодержащих) в емкостях из углеродистой стали (марка Ст3). Однако в результате коррозии металла качество пенообразователей ухудшается, что снижает сроки их хранения. Коррозионная активность пенообразователей (марка Ст3) составляет (0,5-2,0)·10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8</w:t>
      </w:r>
      <w:r>
        <w:rPr>
          <w:szCs w:val="24"/>
        </w:rPr>
        <w:t xml:space="preserve"> кг·м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2</w:t>
      </w:r>
      <w:r>
        <w:rPr>
          <w:szCs w:val="24"/>
        </w:rPr>
        <w:t>·с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1</w:t>
      </w:r>
      <w:r>
        <w:rPr>
          <w:szCs w:val="24"/>
        </w:rPr>
        <w:t>. Срок хранения концентратов пенообразователей в емкостях из Ст3 при температуре 20</w:t>
      </w:r>
      <w:proofErr w:type="gramStart"/>
      <w:r>
        <w:rPr>
          <w:szCs w:val="24"/>
        </w:rPr>
        <w:t xml:space="preserve"> °С</w:t>
      </w:r>
      <w:proofErr w:type="gramEnd"/>
      <w:r>
        <w:rPr>
          <w:szCs w:val="24"/>
        </w:rPr>
        <w:t xml:space="preserve"> составляет не менее: 5 лет - для ТЭАС, ПО-6ТС, ПО-6НП; 4 года - для ПО-ЗНП.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Фторсодержащие пенообразователи следует хранить только в емкостях из нержавеющей стали или в емкостях из полимерных материалов.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Запрещается использование железобетонных емкостей без полимерного покрытия для хранения пенообразователей.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3.5. Длительное хранение (более одного месяца) водных растворов пенообразователей в емкостях из углеродистой стали, не имеющих в своем составе стабилизаторов, не допускается. При использовании емкостей из стекла, пластмассы или нержавеющей стали срок хранения водных растворов составляет 3 года. Пенообразователи ПО-6НП, ПО-6ЦТ, ПО-6ЦВУ и некоторые другие запрещается хранить в виде раствора.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3.6. В случае необходимости при хранении или в условиях эксплуатации (при тушении) допускается смешивать биологически «мягкие» пенообразователи в рамках своего класса: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- синтетические углеводородные общего назначения;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szCs w:val="24"/>
        </w:rPr>
        <w:t>- синтетические углеводородные целевого назначения:</w:t>
      </w:r>
      <w:proofErr w:type="gramEnd"/>
    </w:p>
    <w:p w:rsidR="00FF3B2D" w:rsidRDefault="00B60BD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lastRenderedPageBreak/>
        <w:t>- для использования с морской водой;</w:t>
      </w:r>
    </w:p>
    <w:p w:rsidR="00FF3B2D" w:rsidRDefault="00B60BD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- для использования при низких температурах;</w:t>
      </w:r>
    </w:p>
    <w:p w:rsidR="00FF3B2D" w:rsidRDefault="00B60BD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- с повышенной огнетушащей способностью;</w:t>
      </w:r>
    </w:p>
    <w:p w:rsidR="00FF3B2D" w:rsidRDefault="00B60BD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- для тушения пеной высокой кратности.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Затем проверяется пенообразующая способность и огнетушащая эффективность пенообразователя.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При этом нормативные показатели подачи пены выбирают по наименее эффективному при тушении пенообразователю.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Фторсодержащие и протеиновые пенообразователи нельзя смешивать с </w:t>
      </w:r>
      <w:proofErr w:type="gramStart"/>
      <w:r>
        <w:rPr>
          <w:szCs w:val="24"/>
        </w:rPr>
        <w:t>синтетическими</w:t>
      </w:r>
      <w:proofErr w:type="gramEnd"/>
      <w:r>
        <w:rPr>
          <w:szCs w:val="24"/>
        </w:rPr>
        <w:t xml:space="preserve"> углеводородными общего и целевого назначения без снижения их огнетушащей эффективности.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3.7. Одним из основных показателей, характеризующих сохраняемость пенообразователей при хранении, является величина водородного показателя (рН) и изменение его со временем. Контроль за рН при хранении пенообразователей в пожарных частях следует осуществлять потенциометрическим методом с помощью иономера (рН-метра) любого типа.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3.8. При хранении рабочих растворов пенообразователей в стационарных установках пожаротушения рекомендуется использовать емкости, покрытые внутри полимерным материалом или изготовленные из нержавеющей стали. При отсутствии таких емкостей необходимо стабилизировать раствор пенообразователя (см. разд. 4 настоящих рекомендаций) и проверять качество раствора каждые 12 месяцев.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4"/>
        </w:rPr>
      </w:pPr>
      <w:r>
        <w:rPr>
          <w:b/>
          <w:bCs/>
          <w:szCs w:val="24"/>
        </w:rPr>
        <w:t>4. СТАБИЛИЗАЦИЯ СВОЙСТВ ПЕНООБРАЗОВАТЕЛЕЙ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 xml:space="preserve">Стабилизация </w:t>
      </w:r>
      <w:r>
        <w:rPr>
          <w:szCs w:val="24"/>
        </w:rPr>
        <w:t>- система мероприятий, направленных на сохранение первоначальных пенообразующих и огнетушащих свойств пенообразователей и их растворов.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4.1. Для сохранения свойств пенообразователей и их растворов при хранении и эксплуатации необходимо: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строго соблюдать технологический регламент при промышленном производстве пенообразователей, начиная с выбора и проверки качества исходного сырья и заканчивая тщательной проверкой норм технических требований, установленных в НТД на пенообразователь;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выполнять требования, предъявляемые к чистоте тары при транспортировке пенообразователей (выбор материала тары, отсутствие следов нефтепродуктов).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4.2. Сохранение эксплуатационных характеристик ряда пенообразователей достигается также путем добавки специальных химических компонентов.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4"/>
        </w:rPr>
      </w:pPr>
      <w:r>
        <w:rPr>
          <w:b/>
          <w:bCs/>
          <w:szCs w:val="24"/>
        </w:rPr>
        <w:t>5. ПОРЯДОК ПРОВЕРКИ КАЧЕСТВА ПЕНООБРАЗОВАТЕЛЯ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5.1. При поступлении пенообразователя с предприятия-изготовителя на базу или склад следует проверить наличие документа о проверке качества продукта, состояние тары и поступившего продукта. Необходимо отобрать пробу (по ГОСТ 2517) и направить ее на испытания [34].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5.2. Для проверки пенообразователя, находящегося в двухосной железнодорожной или автомобильной цистерне, отбирают пробу на высоте 1/3 диаметра цистерны от ее дна. Из четырехосной цистерны отбирают две пробы: на расстоянии 250 мм от дна цистерны и на высоте 1/3 диаметра цистерны от ее дна. Пробы смешивают в равных количествах. Объем объединенной пробы должен составлять не менее 1 дм</w:t>
      </w:r>
      <w:r>
        <w:rPr>
          <w:szCs w:val="24"/>
          <w:vertAlign w:val="superscript"/>
        </w:rPr>
        <w:t>3</w:t>
      </w:r>
      <w:r>
        <w:rPr>
          <w:szCs w:val="24"/>
        </w:rPr>
        <w:t>. Для проверки качества пенообразователя, поступившего в мелкой таре (бочки и др.), пробу отбирают от 5 % единиц упаковок в каждой партии, но не менее чем от двух.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5.3. Испытания проводятся специалистами испытательных пожарных лабораторий (ГУ СЭУ ФПС ИПЛ субъектов Российской Федерации), ФГУ ВНИИПО МЧС России или других аккредитованных специализированных организаций. Контроль качества пенообразователя целесообразно проводить по следующим показателям: рН, кратности и устойчивости пены средней кратности по прил. 2 или по п. 5.2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50588, показателю смачивающей способности, времени тушения при заданной интенсивности подачи раствора [29].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Определение времени тушения проводят ИПЛ, ФГУ ВНИИПО МЧС России или другая аккредитованная специализированная организация согласно п. 5.4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50588, п. 8.7.3 НПБ 304-2001 (тушение ацетона) (прил. Е).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На судах морского флота проверку пенообразователей следует выполнять как на основании положений данных рекомендаций, так и с учетом указаний соответствующих циркуляров Международной морской организации [11-13].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lastRenderedPageBreak/>
        <w:t xml:space="preserve">5.4. При получении неудовлетворительных результатов хотя бы по одному показателю (рН, кратности и устойчивости пены средней кратности по п. 5.2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50588, показателю смачивающей способности, времени тушения при заданной интенсивности подачи) по нему проводят повторные испытания из удвоенной выборки. Результаты повторных испытаний являются окончательными и распространяются на всю партию. За партию принимают количество продукта, единовременно изготовленного, однородного по своим качественным показателям и сопровождаемого документом о качестве. При несоответствии показателей качества пенообразователей установленным требованиям составляется акт и предъявляется рекламация предприятию-изготовителю.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5.5. При получении неудовлетворительных результатов по показателю кратности и устойчивости пены средней кратности по прил. 2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 окончательным результатом (по дополнительному требованию заказчика) является проверка показателя по п. 5.2 ГОСТ Р 50588 на пеногенераторе средней кратности ГПС-100 (возможно проведение испытаний на пеногенераторе ГПС-600 с использованием пожарной машины).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5.6. Показатели качества пенообразователей при хранении их в подразделениях пожарной охраны и на защищаемых объектах, оборудованных системами пожаротушения, проверяют после истечения гарантийного срока, а затем не реже одного раза в 12 месяцев. При необходимости проверка качества пенообразователя может проводиться и в период гарантийного срока хранения (прил. Ж).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5.7. Основанием для списания или регенерации пенообразователей является снижение величины показателей (п. 5.3) ниже установленных норм на 20 %.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4"/>
        </w:rPr>
      </w:pPr>
      <w:r>
        <w:rPr>
          <w:b/>
          <w:bCs/>
          <w:szCs w:val="24"/>
        </w:rPr>
        <w:t>6. РЕГЕНЕРАЦИЯ ПЕНООБРАЗОВАТЕЛЕЙ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 xml:space="preserve">Регенерация - </w:t>
      </w:r>
      <w:r>
        <w:rPr>
          <w:szCs w:val="24"/>
        </w:rPr>
        <w:t>восстановление первоначальных значений показателей качества пенообразователей, соответствующих нормативно-технической документации.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Возможность регенерации пенообразователей определяется при наличии условий, изложенных в п. 5.7 настоящих рекомендаций, процедура проводится в ФГУ ВНИИПО МЧС России согласно требованию заказчика.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4"/>
        </w:rPr>
      </w:pPr>
      <w:r>
        <w:rPr>
          <w:b/>
          <w:bCs/>
          <w:szCs w:val="24"/>
        </w:rPr>
        <w:t>7. УТИЛИЗАЦИЯ И ОБЕЗВРЕЖИВАНИЕ ПЕНООБРАЗОВАТЕЛЕЙ</w:t>
      </w:r>
    </w:p>
    <w:p w:rsidR="00FF3B2D" w:rsidRDefault="00FF3B2D">
      <w:pPr>
        <w:shd w:val="clear" w:color="auto" w:fill="FFFFFF"/>
        <w:ind w:firstLine="284"/>
        <w:jc w:val="both"/>
        <w:rPr>
          <w:i/>
          <w:iCs/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 xml:space="preserve">Утилизация - </w:t>
      </w:r>
      <w:r>
        <w:rPr>
          <w:szCs w:val="24"/>
        </w:rPr>
        <w:t>использование по другому назначению пришедших в негодность пенообразователей.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i/>
          <w:iCs/>
          <w:szCs w:val="24"/>
        </w:rPr>
        <w:t xml:space="preserve">Обезвреживание - </w:t>
      </w:r>
      <w:r>
        <w:rPr>
          <w:szCs w:val="24"/>
        </w:rPr>
        <w:t>разрушение составных компонентов пенообразователей до продуктов, не загрязняющих окружающую среду.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7.1. Пенообразователи синтетические углеводородные общего назначения, потерявшие свои первоначальные свойства, рекомендуется использовать в виде смачивателей для тушения твердых горючих материалов.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Такие пенообразователи можно также применять в качестве водных растворов моющего (обезжиривающего) средства при очистке загрязненных металлических поверхностей, в частности, железнодорожных нефтеналивных цистерн на промывопропарочных станциях ОАО «РЖД».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7.2. Биологически «мягкие» пенообразователи, не подлежащие регенерации и утилизации, допускается сбрасывать в производственные сточные воды при разбавлении их водой до предельно допустимой концентрации ПАВ, равной 20 мг·л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 xml:space="preserve">1 </w:t>
      </w:r>
      <w:r>
        <w:rPr>
          <w:szCs w:val="24"/>
        </w:rPr>
        <w:t>по активному веществу (содержание ПАВ в этих пенообразователях уточняют у завода-изготовителя) [2, 35].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7.3. Запрещается сброс производственных сточных вод, содержащих биологически «жесткие» и фторсодержащие пенообразователи, в систему канализации населенных пунктов. Обезвреживание «жестких» и фторсодержащих пенообразователей производится путем сжигания концентрата в специальных печах, имеющихся на химзаводах, либо захоронения на свалке химических отходов.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4"/>
        </w:rPr>
      </w:pPr>
      <w:r>
        <w:rPr>
          <w:b/>
          <w:bCs/>
          <w:szCs w:val="24"/>
        </w:rPr>
        <w:t>8. ТРЕБОВАНИЯ БЕЗОПАСНОСТИ И ОХРАНЫ ОКРУЖАЮЩЕЙ СРЕДЫ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8.1. По степени воздействия на организм человека пенообразователи синтетические углеводородные общего назначения относятся к 4-му классу опасности (вещества малоопасные); пенообразователи целевого назначения - к 4-му классу опасности (вещества малоопасные) или к 3-му классу опасности (вещества умеренно опасные).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8.2. Пенообразователи в концентрированном виде обладают слабыми кумулятивными </w:t>
      </w:r>
      <w:r>
        <w:rPr>
          <w:szCs w:val="24"/>
        </w:rPr>
        <w:lastRenderedPageBreak/>
        <w:t>свойствами, могут вызвать при контакте раздражение кожных покровов и слизистой оболочки глаз [36-38].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Рабочие растворы пенообразователей безвредны. Составы, содержащие фторированные соединения, обладают слабым кумулятивным и кожно-резорбтивным действием.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8.3. Технологический процесс производства пенообразователей должен быть механизирован, а оборудование герметизировано. Помещение, где проводится работа с продуктом, должно быть оборудовано общеобменной приточно-вытяжной вентиляцией.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8.4. При разгрузке пенообразователей, промывке аппаратуры и тары следует исключить возможность попадания состава на кожные покровы, слизистую оболочку глаз и в желудочно-кишечный тракт. Обслуживающий персонал при этом должен быть обеспечен средствами индивидуальной защиты: непромокаемой спецодеждой, резиновыми сапогами, прорезиненными рукавицами или перчатками, защитными очками и щитками. Для защиты рук следует пользоваться кремами типа «Силиконовый» или «Ланолиновый». При попадании продукта в глаза или на кожу его надо смыть большим количеством проточной воды.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8.5. Лицам, работающим с пенообразователями, необходимо соблюдать правила гигиены. Перед приемом пищи и курением следует вымыть руки с мылом, по окончании работ - принять душ. При сильном загрязнении необходимо сменить одежду.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8.6. </w:t>
      </w:r>
      <w:proofErr w:type="gramStart"/>
      <w:r>
        <w:rPr>
          <w:szCs w:val="24"/>
        </w:rPr>
        <w:t>Лица, постоянно работающие с пенообразователями, должны проходить предварительный и периодические (не реже одного раза в год) медицинские осмотры.</w:t>
      </w:r>
      <w:proofErr w:type="gramEnd"/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8.7. Пенообразователи неспособны к самостоятельному горению. Пенообразователь ПО-6НП может образовывать с воздухом взрывоопасные смеси при обычной температуре. Температурные пределы воспламенения паров в воздухе для ПО-6НП: (37 ± 2) °С - </w:t>
      </w:r>
      <w:proofErr w:type="gramStart"/>
      <w:r>
        <w:rPr>
          <w:szCs w:val="24"/>
        </w:rPr>
        <w:t>нижний</w:t>
      </w:r>
      <w:proofErr w:type="gramEnd"/>
      <w:r>
        <w:rPr>
          <w:szCs w:val="24"/>
        </w:rPr>
        <w:t xml:space="preserve"> и (59,1 ± 3,2) °С - верхний. В связи с этим при обращении с данным пенообразователем запрещается пользоваться открытым огнем и другими источниками зажигания. Помещение для хранения пенообразователей должно быть проветриваемым. Рабочие растворы пенообразователей пожаровзрывобезопасны.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8.8. Указанные в п. 1.2 настоящих рекомендаций пенообразователи и их растворы не должны оказывать канцерогенного и мутагенного воздействия на организм человека. Каждый пенообразователь должен иметь санитарно-эпидемиологическое заключение (СЭЗ).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8.9. Подразделениям пожарной охраны запрещается использовать биологически «жесткие» пенообразователи ПО-6К, ПО-1, ПО-1Д.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8.10. При тушении твердых веществ активная часть пенообразователей адсорбируется поверхностью горящих предметов, а при проливе на землю - ее поверхностным слоем, что практически исключает возможность попадания пенообразователей в водоемы.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8.11. В процессе эксплуатации и хранения необходимо соблюдать меры безопасности (предупреждающие пролив пенообразователей).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 случае аварийного пролива биологически «мягкого» пенообразователя следует смыть его обильной струей воды в канализацию [40, 41].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При проливе биологически «жесткого» и фторсодержащего пенообразователя пропитанный продуктом слой почвы должен быть снят и вывезен на свалку химических отходов.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8.12. Слив остатков пенообразователей любого типа при промывке пенных коммуникаций, пеносмесителей, оборудования, емкостей для хранения в водоемы хозяйственно-питьевого и культурно-бытового водопользования не разрешается.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szCs w:val="24"/>
        </w:rPr>
      </w:pPr>
      <w:r>
        <w:rPr>
          <w:b/>
          <w:bCs/>
          <w:szCs w:val="24"/>
        </w:rPr>
        <w:t>Литература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 ГОСТ 4.99-83. СПКП. Пенообразователи для тушения пожаров. Номенклатура показателей.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50588-93. Пенообразователи для тушения пожаров. Общие технические требования и методы испытаний.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3. НПБ 304-2001. Пенообразователи для тушения пожаров. Общие технические требования и методы испытаний.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4. Международный стандарт </w:t>
      </w:r>
      <w:r>
        <w:rPr>
          <w:szCs w:val="24"/>
          <w:lang w:val="en-US"/>
        </w:rPr>
        <w:t>ISO</w:t>
      </w:r>
      <w:r>
        <w:rPr>
          <w:szCs w:val="24"/>
        </w:rPr>
        <w:t xml:space="preserve"> 7203-1: 1995. Огнетушащие вещества. Пенообразователи. Требования к низкократным пенообразователям, применяемым для тушения водонерастворимых жидкостей подачей сверху.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5. Международный стандарт </w:t>
      </w:r>
      <w:r>
        <w:rPr>
          <w:szCs w:val="24"/>
          <w:lang w:val="en-US"/>
        </w:rPr>
        <w:t>ISO</w:t>
      </w:r>
      <w:r>
        <w:rPr>
          <w:szCs w:val="24"/>
        </w:rPr>
        <w:t xml:space="preserve"> 7203-2: 1995. Огнетушащие вещества. Пенообразователи. Требования к среднекратным и высокократным пенообразователям, применяемым для тушения водонерастворимых жидкостей подачей сверху.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6. Международный стандарт </w:t>
      </w:r>
      <w:r>
        <w:rPr>
          <w:szCs w:val="24"/>
          <w:lang w:val="en-US"/>
        </w:rPr>
        <w:t>ISO</w:t>
      </w:r>
      <w:r>
        <w:rPr>
          <w:szCs w:val="24"/>
        </w:rPr>
        <w:t xml:space="preserve"> 7203-3: 1998. Огнетушащие вещества. Пенообразователи. Требования к низкократным пенообразователям, применяемым для тушения водорастворимых </w:t>
      </w:r>
      <w:r>
        <w:rPr>
          <w:szCs w:val="24"/>
        </w:rPr>
        <w:lastRenderedPageBreak/>
        <w:t>жидкостей подачей сверху.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7. Европейский стандарт </w:t>
      </w:r>
      <w:r>
        <w:rPr>
          <w:szCs w:val="24"/>
          <w:lang w:val="en-US"/>
        </w:rPr>
        <w:t>EN</w:t>
      </w:r>
      <w:r>
        <w:rPr>
          <w:szCs w:val="24"/>
        </w:rPr>
        <w:t xml:space="preserve"> 1568-1: 2000. Огнетушащие вещества. Пенообразователи. Требования к среднекратным пенообразователям, применяемым для подачи на поверхность водонерастворимых горючих жидкостей.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8. Европейский стандарт </w:t>
      </w:r>
      <w:r>
        <w:rPr>
          <w:szCs w:val="24"/>
          <w:lang w:val="en-US"/>
        </w:rPr>
        <w:t>EN</w:t>
      </w:r>
      <w:r>
        <w:rPr>
          <w:szCs w:val="24"/>
        </w:rPr>
        <w:t xml:space="preserve"> 1568-2: 2000. Огнетушащие вещества. Пенообразователи. Требования к высокократным пенообразователям, применяемым для подачи на поверхность водонерастворимых горючих жидкостей.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9. Европейский стандарт </w:t>
      </w:r>
      <w:r>
        <w:rPr>
          <w:szCs w:val="24"/>
          <w:lang w:val="en-US"/>
        </w:rPr>
        <w:t>EN</w:t>
      </w:r>
      <w:r>
        <w:rPr>
          <w:szCs w:val="24"/>
        </w:rPr>
        <w:t xml:space="preserve"> 1568-3: 2000. Огнетушащие вещества. Пенообразователи. Требования к низкократным пенообразователям, применяемым для подачи на поверхность водонерастворимых горючих жидкостей.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10. Европейский стандарт </w:t>
      </w:r>
      <w:r>
        <w:rPr>
          <w:szCs w:val="24"/>
          <w:lang w:val="en-US"/>
        </w:rPr>
        <w:t>EN</w:t>
      </w:r>
      <w:r>
        <w:rPr>
          <w:szCs w:val="24"/>
        </w:rPr>
        <w:t xml:space="preserve"> 1568-4: 2000. Огнетушащие вещества. Пенообразователи. Требования к низкократным пенообразователям, применяемым для подачи на поверхность водорастворимых горючих жидкостей.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11. Международная морская организация </w:t>
      </w:r>
      <w:r>
        <w:rPr>
          <w:szCs w:val="24"/>
          <w:lang w:val="en-US"/>
        </w:rPr>
        <w:t>IMO</w:t>
      </w:r>
      <w:r>
        <w:rPr>
          <w:szCs w:val="24"/>
        </w:rPr>
        <w:t xml:space="preserve"> </w:t>
      </w:r>
      <w:r>
        <w:rPr>
          <w:szCs w:val="24"/>
          <w:lang w:val="en-US"/>
        </w:rPr>
        <w:t>MSC</w:t>
      </w:r>
      <w:r>
        <w:rPr>
          <w:szCs w:val="24"/>
        </w:rPr>
        <w:t>/</w:t>
      </w:r>
      <w:r>
        <w:rPr>
          <w:szCs w:val="24"/>
          <w:lang w:val="en-US"/>
        </w:rPr>
        <w:t>Circ</w:t>
      </w:r>
      <w:r>
        <w:rPr>
          <w:szCs w:val="24"/>
        </w:rPr>
        <w:t>.582: 1992. Руководство по характеристикам, критериям испытаний и надзору за пенообразователями низкой кратности для стационарных систем пожаротушения.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12. Международная морская организация </w:t>
      </w:r>
      <w:r>
        <w:rPr>
          <w:szCs w:val="24"/>
          <w:lang w:val="en-US"/>
        </w:rPr>
        <w:t>IMO</w:t>
      </w:r>
      <w:r>
        <w:rPr>
          <w:szCs w:val="24"/>
        </w:rPr>
        <w:t xml:space="preserve"> </w:t>
      </w:r>
      <w:r>
        <w:rPr>
          <w:szCs w:val="24"/>
          <w:lang w:val="en-US"/>
        </w:rPr>
        <w:t>MSC</w:t>
      </w:r>
      <w:r>
        <w:rPr>
          <w:szCs w:val="24"/>
        </w:rPr>
        <w:t>/</w:t>
      </w:r>
      <w:r>
        <w:rPr>
          <w:szCs w:val="24"/>
          <w:lang w:val="en-US"/>
        </w:rPr>
        <w:t>Circ</w:t>
      </w:r>
      <w:r>
        <w:rPr>
          <w:szCs w:val="24"/>
        </w:rPr>
        <w:t>.670: 1995. Руководство по характеристикам, критериям испытаний и надзору за пенообразователями высокой кратности для стационарных систем пожаротушения.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13. Международная морская организация </w:t>
      </w:r>
      <w:r>
        <w:rPr>
          <w:szCs w:val="24"/>
          <w:lang w:val="en-US"/>
        </w:rPr>
        <w:t>IMO</w:t>
      </w:r>
      <w:r>
        <w:rPr>
          <w:szCs w:val="24"/>
        </w:rPr>
        <w:t xml:space="preserve"> </w:t>
      </w:r>
      <w:r>
        <w:rPr>
          <w:szCs w:val="24"/>
          <w:lang w:val="en-US"/>
        </w:rPr>
        <w:t>MSC</w:t>
      </w:r>
      <w:r>
        <w:rPr>
          <w:szCs w:val="24"/>
        </w:rPr>
        <w:t>/</w:t>
      </w:r>
      <w:r>
        <w:rPr>
          <w:szCs w:val="24"/>
          <w:lang w:val="en-US"/>
        </w:rPr>
        <w:t>Circ</w:t>
      </w:r>
      <w:r>
        <w:rPr>
          <w:szCs w:val="24"/>
        </w:rPr>
        <w:t>.798: 1997. Руководство по характеристикам, критериям испытаний и надзору за пенообразователями средней кратности для систем пожаротушения.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14. ГОСТ 27331-87. Пожарная техника. Классификация пожаров.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15.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52029-2003. Вода. Единицы жесткости.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16. 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50595-93. Вещества поверхностно-активные. Методы определения биоразлагаемости в водной среде.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17. Порядок применения пенообразователей для тушения пожаров: Инструкция. - М.: ВНИИПО, 1996. - 27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18. Рекомендации по применению серийно выпускаемых пенообразователей с оптимальными концентрациями при использовании их с водой различной жесткости. - М.: ВНИИПО, 1981. - 6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19. Определение нормативного запаса пенообразователя для тушения горючих жидкостей в резервуарах: Рекомендации. - М.: ВНИИПО, 1986. - 29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20. СНиП 2.11.03-93. Склады нефти и нефтепродуктов. Противопожарные нормы / Госстрой России. - М.: ГП ЦПП, 1993. - 24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21. Методика определения огнетушащей эффективности воздушно-механической пены. - М.: ВНИИПО, 1974. - 17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22. Применение пены для тушения пожаров органических жидкостей: Справ</w:t>
      </w:r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п</w:t>
      </w:r>
      <w:proofErr w:type="gramEnd"/>
      <w:r>
        <w:rPr>
          <w:szCs w:val="24"/>
        </w:rPr>
        <w:t>особие. - М.: ВНИИПО, 1995. - 98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23. Выбор типа автоматических установок пожаротушения: Рекомендации. - М: ВНИИПО, 1991. - 111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24. Рекомендации по тушению полярных жидкостей в резервуарах. - М.: ВНИИПО, 2007. - 58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25. Наставление по использованию передвижной пожарной техники для тушения пожаров горючих жидкостей в резервуарах подслойным способом. - М.: ВНИИПО: ВИПТШ, 1994. - 25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26. НПБ 61-97. Пожарная техника. Установки пожаротушения. Генераторы пены низкой кратности для подслойного тушения резервуаров.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27. Огнетушащие средства и интенсивности их подачи для тушения пожаров в производстве уксусной кислоты и уксусного ангидрида / В.М. Кучер, В.А. Меркулов, И.Д. Кушина и др. // Химическая промышленность. - 1990. - № 1. - С. 21-23.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28. НПБ 203-98. Пенообразователи для подслойного тушения пожаров нефти и нефтепродуктов в резервуарах. Общие технические требования. Методы испытаний.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29. Инструкция по определению эффективности пены </w:t>
      </w:r>
      <w:proofErr w:type="gramStart"/>
      <w:r>
        <w:rPr>
          <w:szCs w:val="24"/>
        </w:rPr>
        <w:t>экспресс-методом</w:t>
      </w:r>
      <w:proofErr w:type="gramEnd"/>
      <w:r>
        <w:rPr>
          <w:szCs w:val="24"/>
        </w:rPr>
        <w:t xml:space="preserve"> (№ 51-80). - М.: ВНИИПО, 1980. - 38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30. Дозирование пенообразователей повышенной вязкости насосными установками пожарных автоцистерн: Рекомендации. - М.: ВНИИПО, 2001. - 17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31. Дозирование пенообразователей вязкостью более 200 мм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>·с</w:t>
      </w:r>
      <w:r>
        <w:rPr>
          <w:szCs w:val="24"/>
          <w:vertAlign w:val="superscript"/>
        </w:rPr>
        <w:sym w:font="Symbol" w:char="F02D"/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 насосными установками пожарных автоцистерн / В.В. Пешков, Г.Н. Васильев, Е.Е. Архипов, Г.Н. Пунчик // Крупные пожары: предупреждение и тушение: Материалы </w:t>
      </w:r>
      <w:r>
        <w:rPr>
          <w:szCs w:val="24"/>
          <w:lang w:val="en-US"/>
        </w:rPr>
        <w:t>XVI</w:t>
      </w:r>
      <w:r>
        <w:rPr>
          <w:szCs w:val="24"/>
        </w:rPr>
        <w:t xml:space="preserve"> науч</w:t>
      </w:r>
      <w:proofErr w:type="gramStart"/>
      <w:r>
        <w:rPr>
          <w:szCs w:val="24"/>
        </w:rPr>
        <w:t>.-</w:t>
      </w:r>
      <w:proofErr w:type="gramEnd"/>
      <w:r>
        <w:rPr>
          <w:szCs w:val="24"/>
        </w:rPr>
        <w:t>практ. конф. - Ч. 2. - М.: ВНИИПО, 2001. - С.348-349.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lastRenderedPageBreak/>
        <w:t>32. ГОСТ 19433-88. Грузы опасные. Классификация и маркировка.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33. ГОСТ 1510-84. Нефть и нефтепродукты. Маркировка, упаковка, транспортирование и хранение.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34. ГОСТ 2517-85. Нефть и нефтепродукты. Метод отбора проб.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35. Грушко Я.М. Вредные органические соединения в промышленных сточных водах: Справочник. - Л.: Химия, 1982. - 525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36. </w:t>
      </w:r>
      <w:proofErr w:type="gramStart"/>
      <w:r>
        <w:rPr>
          <w:szCs w:val="24"/>
        </w:rPr>
        <w:t>Беспамятное</w:t>
      </w:r>
      <w:proofErr w:type="gramEnd"/>
      <w:r>
        <w:rPr>
          <w:szCs w:val="24"/>
        </w:rPr>
        <w:t xml:space="preserve"> Г.Л., Кротов Ю.А. Предельно допустимые концентрации химических веществ в воздухе и воде. - Л.: Химия, 1985. - 528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37. ГОСТ 12.1.005-88. ССБТ. Общие санитарно-гигиенические требования к воздуху рабочей зоны.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38. ГОСТ 12.4.011-89. ССБТ. Средства защиты </w:t>
      </w:r>
      <w:proofErr w:type="gramStart"/>
      <w:r>
        <w:rPr>
          <w:szCs w:val="24"/>
        </w:rPr>
        <w:t>работающих</w:t>
      </w:r>
      <w:proofErr w:type="gramEnd"/>
      <w:r>
        <w:rPr>
          <w:szCs w:val="24"/>
        </w:rPr>
        <w:t>. Общие требования и классификация.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39. ГОСТ 6948-81. Пенообразователь ПО-1. Технические условия.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40. Правила приема производственных сточных вод в системы канализации населенных пунктов. - М.: АКХ им. Памфилова, 1985.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41. СНиП 2.04.03-85. Канализация. Наружные сети и сооружения.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42. Руководство по тушению нефти и нефтепродуктов в резервуарах и резервуарных парках. - М.: ВНИИПО, 1999. - 80 с.</w:t>
      </w:r>
    </w:p>
    <w:p w:rsidR="00FF3B2D" w:rsidRDefault="00FF3B2D">
      <w:pPr>
        <w:shd w:val="clear" w:color="auto" w:fill="FFFFFF"/>
        <w:ind w:firstLine="284"/>
        <w:jc w:val="both"/>
        <w:rPr>
          <w:i/>
          <w:iCs/>
          <w:szCs w:val="22"/>
        </w:rPr>
        <w:sectPr w:rsidR="00FF3B2D">
          <w:type w:val="continuous"/>
          <w:pgSz w:w="11909" w:h="16834" w:code="9"/>
          <w:pgMar w:top="1440" w:right="1797" w:bottom="1440" w:left="1797" w:header="720" w:footer="720" w:gutter="0"/>
          <w:cols w:space="720"/>
          <w:noEndnote/>
        </w:sectPr>
      </w:pP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>ПРИЛОЖЕНИЕ А</w:t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t>(обязательное)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ОСНОВНЫЕ ПОКАЗАТЕЛИ ПЕНООБРАЗОВАТЕЛЕЙ ОБЩЕГО И ЦЕЛЕВОГО НАЗНАЧЕНИЯ</w:t>
      </w:r>
    </w:p>
    <w:p w:rsidR="00FF3B2D" w:rsidRDefault="00FF3B2D">
      <w:pPr>
        <w:shd w:val="clear" w:color="auto" w:fill="FFFFFF"/>
        <w:ind w:firstLine="284"/>
        <w:jc w:val="both"/>
      </w:pPr>
    </w:p>
    <w:p w:rsidR="00FF3B2D" w:rsidRDefault="00B60BD4">
      <w:pPr>
        <w:shd w:val="clear" w:color="auto" w:fill="FFFFFF"/>
        <w:ind w:firstLine="284"/>
        <w:jc w:val="right"/>
      </w:pPr>
      <w:r>
        <w:t>Таблица 1</w:t>
      </w:r>
    </w:p>
    <w:p w:rsidR="00FF3B2D" w:rsidRDefault="00FF3B2D">
      <w:pPr>
        <w:shd w:val="clear" w:color="auto" w:fill="FFFFFF"/>
        <w:ind w:firstLine="284"/>
        <w:jc w:val="both"/>
        <w:rPr>
          <w:i/>
          <w:iCs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Пенообразователи синтетические углеводородные общего назначения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926"/>
        <w:gridCol w:w="894"/>
        <w:gridCol w:w="746"/>
        <w:gridCol w:w="687"/>
        <w:gridCol w:w="649"/>
        <w:gridCol w:w="602"/>
        <w:gridCol w:w="709"/>
        <w:gridCol w:w="482"/>
        <w:gridCol w:w="485"/>
        <w:gridCol w:w="1960"/>
      </w:tblGrid>
      <w:tr w:rsidR="00FF3B2D">
        <w:trPr>
          <w:cantSplit/>
          <w:trHeight w:val="236"/>
        </w:trPr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Пенообразователь</w:t>
            </w:r>
          </w:p>
        </w:tc>
        <w:tc>
          <w:tcPr>
            <w:tcW w:w="81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Показатели*</w:t>
            </w:r>
          </w:p>
        </w:tc>
      </w:tr>
      <w:tr w:rsidR="00FF3B2D">
        <w:trPr>
          <w:cantSplit/>
        </w:trPr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FF3B2D">
            <w:pPr>
              <w:ind w:left="113" w:right="113"/>
              <w:rPr>
                <w:sz w:val="18"/>
                <w:szCs w:val="24"/>
              </w:rPr>
            </w:pPr>
          </w:p>
        </w:tc>
        <w:tc>
          <w:tcPr>
            <w:tcW w:w="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</w:rPr>
              <w:t>Плотность при 20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sym w:font="Symbol" w:char="F0B0"/>
            </w:r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кг/м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 в пределах</w:t>
            </w:r>
          </w:p>
        </w:tc>
        <w:tc>
          <w:tcPr>
            <w:tcW w:w="8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 xml:space="preserve">Температура застывания, </w:t>
            </w:r>
            <w:r>
              <w:rPr>
                <w:sz w:val="18"/>
              </w:rPr>
              <w:sym w:font="Symbol" w:char="F0B0"/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не выше</w:t>
            </w:r>
          </w:p>
        </w:tc>
        <w:tc>
          <w:tcPr>
            <w:tcW w:w="7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pH</w:t>
            </w:r>
            <w:r>
              <w:rPr>
                <w:sz w:val="18"/>
                <w:szCs w:val="24"/>
              </w:rPr>
              <w:t xml:space="preserve"> при 20 </w:t>
            </w:r>
            <w:r>
              <w:rPr>
                <w:sz w:val="18"/>
              </w:rPr>
              <w:sym w:font="Symbol" w:char="F0B0"/>
            </w:r>
            <w:r>
              <w:rPr>
                <w:sz w:val="18"/>
              </w:rPr>
              <w:t>С, в пределах</w:t>
            </w:r>
          </w:p>
        </w:tc>
        <w:tc>
          <w:tcPr>
            <w:tcW w:w="1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Концентрация рабочего раствора, % (</w:t>
            </w:r>
            <w:proofErr w:type="gramStart"/>
            <w:r>
              <w:rPr>
                <w:sz w:val="18"/>
                <w:szCs w:val="14"/>
              </w:rPr>
              <w:t>об</w:t>
            </w:r>
            <w:proofErr w:type="gramEnd"/>
            <w:r>
              <w:rPr>
                <w:sz w:val="18"/>
                <w:szCs w:val="14"/>
              </w:rPr>
              <w:t>.), не менее</w:t>
            </w:r>
            <w:r>
              <w:rPr>
                <w:sz w:val="18"/>
                <w:szCs w:val="12"/>
              </w:rPr>
              <w:t xml:space="preserve">, </w:t>
            </w:r>
            <w:r>
              <w:rPr>
                <w:sz w:val="18"/>
                <w:szCs w:val="14"/>
              </w:rPr>
              <w:t>для получения</w:t>
            </w:r>
          </w:p>
        </w:tc>
        <w:tc>
          <w:tcPr>
            <w:tcW w:w="1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 xml:space="preserve">Устойчивость пены, </w:t>
            </w:r>
            <w:proofErr w:type="gramStart"/>
            <w:r>
              <w:rPr>
                <w:sz w:val="18"/>
                <w:szCs w:val="14"/>
              </w:rPr>
              <w:t>с</w:t>
            </w:r>
            <w:proofErr w:type="gramEnd"/>
            <w:r>
              <w:rPr>
                <w:sz w:val="18"/>
                <w:szCs w:val="14"/>
              </w:rPr>
              <w:t>, не менее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Гарантийный срок хранения, мес.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Номер ТУ</w:t>
            </w:r>
          </w:p>
        </w:tc>
      </w:tr>
      <w:tr w:rsidR="00FF3B2D">
        <w:trPr>
          <w:cantSplit/>
          <w:trHeight w:val="2993"/>
        </w:trPr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8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32"/>
              </w:rPr>
              <w:t>пены средней кратности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смачивателя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разрушение 50% объема пены средней кратности в емкости 200 дм</w:t>
            </w:r>
            <w:r>
              <w:rPr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выделение 50% объема жидкости и пены средней кратности (стенд</w:t>
            </w:r>
            <w:proofErr w:type="gramStart"/>
            <w:r>
              <w:rPr>
                <w:sz w:val="18"/>
                <w:szCs w:val="24"/>
              </w:rPr>
              <w:t>.</w:t>
            </w:r>
            <w:proofErr w:type="gramEnd"/>
            <w:r>
              <w:rPr>
                <w:sz w:val="18"/>
                <w:szCs w:val="24"/>
              </w:rPr>
              <w:t xml:space="preserve"> </w:t>
            </w:r>
            <w:proofErr w:type="gramStart"/>
            <w:r>
              <w:rPr>
                <w:sz w:val="18"/>
                <w:szCs w:val="24"/>
              </w:rPr>
              <w:t>у</w:t>
            </w:r>
            <w:proofErr w:type="gramEnd"/>
            <w:r>
              <w:rPr>
                <w:sz w:val="18"/>
                <w:szCs w:val="24"/>
              </w:rPr>
              <w:t>ст.)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разрушение 50% объема пены средней кратности (стенд</w:t>
            </w:r>
            <w:proofErr w:type="gramStart"/>
            <w:r>
              <w:rPr>
                <w:sz w:val="18"/>
                <w:szCs w:val="24"/>
              </w:rPr>
              <w:t>.</w:t>
            </w:r>
            <w:proofErr w:type="gramEnd"/>
            <w:r>
              <w:rPr>
                <w:sz w:val="18"/>
                <w:szCs w:val="24"/>
              </w:rPr>
              <w:t xml:space="preserve"> </w:t>
            </w:r>
            <w:proofErr w:type="gramStart"/>
            <w:r>
              <w:rPr>
                <w:sz w:val="18"/>
                <w:szCs w:val="24"/>
              </w:rPr>
              <w:t>у</w:t>
            </w:r>
            <w:proofErr w:type="gramEnd"/>
            <w:r>
              <w:rPr>
                <w:sz w:val="18"/>
                <w:szCs w:val="24"/>
              </w:rPr>
              <w:t>ст.)</w:t>
            </w:r>
          </w:p>
        </w:tc>
        <w:tc>
          <w:tcPr>
            <w:tcW w:w="4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9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11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ПО-6ОСТ, марка 1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5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160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2481-006-22299560-00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ПО-6ОСТ, марка 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20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160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2481-006-22299560-00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ПО-3ОСТ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160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2481-013-22299560-2004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ПО-6СП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2481-001-74779329-2005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«Ялан»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2481-019-22657427-2003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ПО-6СБ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2481-300-00204197-2004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ПО-6РП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2481-001-57525935-2004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ПО-3НП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38-00-05807999-20-93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ПО-НСВ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1; 3; 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1; 1; 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2481-008-49888190-2005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ПО-6ВАС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1010-1100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2481-045-05807999-2005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ПО-6РЗ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2481-001-78148123-2005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ПО-3БТ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2481-026-22657427-2005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«Натиск ОН»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3; 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2; 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2480-003-59612419-2003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ТЭАС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2481-005-45811049-01</w:t>
            </w:r>
          </w:p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(изм. № 1-3)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ТЭАС (3 %)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2481-005-45811049-01</w:t>
            </w:r>
          </w:p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(изм. № 3)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ПО-6У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2481-001-14532723-2003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«Файрэкс»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1050-1090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2481-203-05744685-2003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«Урал Стандарт»**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1010-1050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5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2481-007-53675123-03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ПО-6ТС, марка</w:t>
            </w:r>
            <w:proofErr w:type="gramStart"/>
            <w:r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7,3-8,0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0258-147-05744685-98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ПО-6ТС, марка</w:t>
            </w:r>
            <w:proofErr w:type="gramStart"/>
            <w:r>
              <w:rPr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0258-147-05744685-98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ПО-6ТС, марка</w:t>
            </w:r>
            <w:proofErr w:type="gramStart"/>
            <w:r>
              <w:rPr>
                <w:sz w:val="18"/>
                <w:szCs w:val="16"/>
              </w:rPr>
              <w:t xml:space="preserve"> В</w:t>
            </w:r>
            <w:proofErr w:type="gram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0258-147-05744685-98</w:t>
            </w:r>
          </w:p>
        </w:tc>
      </w:tr>
      <w:tr w:rsidR="00FF3B2D"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ПО-6ТС,</w:t>
            </w:r>
          </w:p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марка 3 %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3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7,3-8,0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0258-147-05744685-98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* Некоторые показатели для приведенных в таблице пенообразователей одинаковые: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1. Внешний вид - прозрачная жидкость без осадка.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2. Жесткость питьевой воды для получения пены средней кратности: не выше 7 мг-экв·л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(7 °Ж по ГОСТ 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52029).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3. Кинематическая вязкость при 20</w:t>
      </w:r>
      <w:proofErr w:type="gramStart"/>
      <w:r>
        <w:rPr>
          <w:sz w:val="18"/>
          <w:szCs w:val="18"/>
        </w:rPr>
        <w:t xml:space="preserve"> °С</w:t>
      </w:r>
      <w:proofErr w:type="gramEnd"/>
      <w:r>
        <w:rPr>
          <w:sz w:val="18"/>
          <w:szCs w:val="18"/>
        </w:rPr>
        <w:t xml:space="preserve"> - не более 100 мм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·с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(для пенообразователя ПО-6ТС, марка А - не более 40 мм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·с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4. Кратность пены: низкая - не более 20: средняя - не менее 60 (высокая - не менее 200 - для пенообразователей «Натиск ОН»; «Урал Стандарт»).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5. Время тушения н-гептана (бензина АИ-80) пеной средней кратности (стендовая установка) при интенсивности подачи (0,042 ± 0.002) дм</w:t>
      </w: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>·м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·с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- не более 300 с.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lastRenderedPageBreak/>
        <w:t>6. Показатель смачивающей способности - не более 9 с.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** Кратность и устойчивость пены для пенообразователя «Урал Стандарт» определяются с использованием пресной и морской воды. Выделение 50 % объема жидкости из пены высокой кратности не менее 150 с. Выделение 50 % объема жидкости из пены низкой кратности не менее 120 с.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right"/>
        <w:rPr>
          <w:szCs w:val="18"/>
        </w:rPr>
      </w:pPr>
      <w:r>
        <w:rPr>
          <w:szCs w:val="18"/>
        </w:rPr>
        <w:t>Таблица 2</w:t>
      </w:r>
    </w:p>
    <w:p w:rsidR="00FF3B2D" w:rsidRDefault="00FF3B2D">
      <w:pPr>
        <w:shd w:val="clear" w:color="auto" w:fill="FFFFFF"/>
        <w:ind w:firstLine="284"/>
        <w:jc w:val="both"/>
        <w:rPr>
          <w:i/>
          <w:iCs/>
          <w:szCs w:val="18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</w:rPr>
      </w:pPr>
      <w:r>
        <w:rPr>
          <w:b/>
          <w:bCs/>
        </w:rPr>
        <w:t>Пенообразователи синтетические углеводородные целевого назначения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899"/>
        <w:gridCol w:w="620"/>
        <w:gridCol w:w="838"/>
        <w:gridCol w:w="806"/>
        <w:gridCol w:w="528"/>
        <w:gridCol w:w="748"/>
        <w:gridCol w:w="476"/>
        <w:gridCol w:w="589"/>
        <w:gridCol w:w="506"/>
        <w:gridCol w:w="482"/>
        <w:gridCol w:w="1975"/>
      </w:tblGrid>
      <w:tr w:rsidR="00FF3B2D">
        <w:trPr>
          <w:cantSplit/>
        </w:trPr>
        <w:tc>
          <w:tcPr>
            <w:tcW w:w="12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Пенообразователь</w:t>
            </w:r>
          </w:p>
        </w:tc>
        <w:tc>
          <w:tcPr>
            <w:tcW w:w="84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Показатели*</w:t>
            </w:r>
          </w:p>
        </w:tc>
      </w:tr>
      <w:tr w:rsidR="00FF3B2D">
        <w:trPr>
          <w:cantSplit/>
        </w:trPr>
        <w:tc>
          <w:tcPr>
            <w:tcW w:w="12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</w:rPr>
              <w:t>Плотность при 20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sym w:font="Symbol" w:char="F0B0"/>
            </w:r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кг/м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, в пределах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Кинематическая вязкость, при 20</w:t>
            </w:r>
            <w:proofErr w:type="gramStart"/>
            <w:r>
              <w:rPr>
                <w:sz w:val="18"/>
                <w:szCs w:val="18"/>
              </w:rPr>
              <w:t xml:space="preserve"> °С</w:t>
            </w:r>
            <w:proofErr w:type="gramEnd"/>
            <w:r>
              <w:rPr>
                <w:sz w:val="18"/>
                <w:szCs w:val="18"/>
              </w:rPr>
              <w:t>, мм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·с</w:t>
            </w:r>
            <w:r>
              <w:rPr>
                <w:sz w:val="18"/>
                <w:szCs w:val="18"/>
                <w:vertAlign w:val="superscript"/>
              </w:rPr>
              <w:sym w:font="Symbol" w:char="F02D"/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не более</w:t>
            </w:r>
          </w:p>
        </w:tc>
        <w:tc>
          <w:tcPr>
            <w:tcW w:w="8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Температура застывания, °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, не выше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рН при 20</w:t>
            </w:r>
            <w:proofErr w:type="gramStart"/>
            <w:r>
              <w:rPr>
                <w:sz w:val="18"/>
                <w:szCs w:val="18"/>
              </w:rPr>
              <w:t xml:space="preserve"> °С</w:t>
            </w:r>
            <w:proofErr w:type="gramEnd"/>
            <w:r>
              <w:rPr>
                <w:sz w:val="18"/>
                <w:szCs w:val="18"/>
              </w:rPr>
              <w:t>, в пределах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Концентрация рабочего раствора, %(</w:t>
            </w:r>
            <w:proofErr w:type="gramStart"/>
            <w:r>
              <w:rPr>
                <w:sz w:val="18"/>
                <w:szCs w:val="16"/>
              </w:rPr>
              <w:t>об</w:t>
            </w:r>
            <w:proofErr w:type="gramEnd"/>
            <w:r>
              <w:rPr>
                <w:sz w:val="18"/>
                <w:szCs w:val="16"/>
              </w:rPr>
              <w:t>.), не менее, для получения</w:t>
            </w:r>
          </w:p>
        </w:tc>
        <w:tc>
          <w:tcPr>
            <w:tcW w:w="1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Кратность пены</w:t>
            </w:r>
          </w:p>
        </w:tc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Гарантийный срок хранения, мес.</w:t>
            </w:r>
          </w:p>
        </w:tc>
        <w:tc>
          <w:tcPr>
            <w:tcW w:w="1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Номер ТУ</w:t>
            </w:r>
          </w:p>
        </w:tc>
      </w:tr>
      <w:tr w:rsidR="00FF3B2D">
        <w:trPr>
          <w:cantSplit/>
          <w:trHeight w:val="1138"/>
        </w:trPr>
        <w:tc>
          <w:tcPr>
            <w:tcW w:w="12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8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пены средней кратности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смачивателя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низкая, не более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средняя, не менее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B60BD4">
            <w:pPr>
              <w:shd w:val="clear" w:color="auto" w:fill="FFFFFF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высокая, более</w:t>
            </w:r>
          </w:p>
        </w:tc>
        <w:tc>
          <w:tcPr>
            <w:tcW w:w="4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11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12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0258-148-05744685-98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ПО-6ТС-В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2481-186-05744685-2002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ПО-6ЦВУ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1000-1100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2481-007-22299560-00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ПО-6ЦНТ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30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2481-002-22299560-99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ПО-6МТ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20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0258-164-05744685-99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ТЭАС-Н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20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2481-005-45811049-01 (изм. №2-3)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ТЭАС-С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30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2481-005-45811049-01 (изм. № 2-3)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ПО-6ТС-М**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2481-188-05744685-2002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ПО-6НП-М**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1010-1200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2481-015-05807999-99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 xml:space="preserve">ПО-4ЦМТ** (ранее </w:t>
            </w:r>
            <w:proofErr w:type="gramStart"/>
            <w:r>
              <w:rPr>
                <w:sz w:val="18"/>
                <w:szCs w:val="16"/>
              </w:rPr>
              <w:t>-«</w:t>
            </w:r>
            <w:proofErr w:type="gramEnd"/>
            <w:r>
              <w:rPr>
                <w:sz w:val="18"/>
                <w:szCs w:val="16"/>
              </w:rPr>
              <w:t>Морпен»)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1050-1200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500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(6%)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2481-008-22299560-02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«Урал Стандарт ННП»"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1010-1050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2481-006-53675123-03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П0-6НП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1010-1100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38-00-05807999-33-95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«Морпен»**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1050-1200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7,0-10,0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2481-006-45811049-2002 (взамен ТУ 0258-001-01013393-94)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ПО-6ЦСТ, марка 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2481-012-22299560-2004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ПО-6ЦСТ, марка 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20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2481-012-22299560-2004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ПО-6ЦБТ-М**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2481-028-22657427-2005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ПО-6СПМ **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2481-003-74779329-2005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ПО-6СПС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2481-002-74779329-2005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ПО-6НПС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2481-046-05807999-2005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ПО-6УМ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25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2481-002-14532723-2004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ПО-6РЗМ**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2481-002-78148123-2005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ПО-6ЦБТ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2481-024-22657427-2004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ПО-6ЦБТ-Н, марка 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20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2481-027-22657427-2005</w:t>
            </w:r>
          </w:p>
        </w:tc>
      </w:tr>
      <w:tr w:rsidR="00FF3B2D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ПО-6ЦБТ-Н, марка 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30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2481-027-22657427-2005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* Некоторые показатели для приведенных в таблице пенообразователей одинаковые: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1. Внешний вид - однородная жидкость без осадка и расслоения.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2. Жесткость питьевой воды для получения пены средней кратности: не выше 7 мг-экв·л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(7 °Ж по ГОСТ 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52029).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3. Время тушения н-гептана (бензина АИ-80) пеной средней кратности (стендовая установка) при интенсивности подачи (0,032 ± 0,002) дм</w:t>
      </w: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>·м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·с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- не более 300 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 w:val="18"/>
          <w:szCs w:val="18"/>
        </w:rPr>
        <w:t>** Кратность и устойчивость пены для пенообразователей определяются с использованием пресной и морской воды.</w:t>
      </w:r>
    </w:p>
    <w:p w:rsidR="00FF3B2D" w:rsidRDefault="00FF3B2D">
      <w:pPr>
        <w:shd w:val="clear" w:color="auto" w:fill="FFFFFF"/>
        <w:ind w:firstLine="284"/>
        <w:jc w:val="both"/>
        <w:rPr>
          <w:i/>
          <w:iCs/>
        </w:rPr>
        <w:sectPr w:rsidR="00FF3B2D">
          <w:pgSz w:w="11909" w:h="16834" w:code="9"/>
          <w:pgMar w:top="1134" w:right="1134" w:bottom="1134" w:left="1134" w:header="720" w:footer="720" w:gutter="0"/>
          <w:cols w:space="720"/>
          <w:noEndnote/>
        </w:sectPr>
      </w:pPr>
    </w:p>
    <w:p w:rsidR="00FF3B2D" w:rsidRDefault="00B60BD4">
      <w:pPr>
        <w:shd w:val="clear" w:color="auto" w:fill="FFFFFF"/>
        <w:ind w:firstLine="284"/>
        <w:jc w:val="right"/>
      </w:pPr>
      <w:r>
        <w:lastRenderedPageBreak/>
        <w:t>Таблица 3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Устойчивость пены для пенообразователей синтетических углеводородных целевого назначения*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3"/>
        <w:gridCol w:w="1160"/>
        <w:gridCol w:w="1170"/>
        <w:gridCol w:w="1172"/>
        <w:gridCol w:w="1024"/>
        <w:gridCol w:w="1170"/>
        <w:gridCol w:w="1102"/>
      </w:tblGrid>
      <w:tr w:rsidR="00FF3B2D">
        <w:trPr>
          <w:cantSplit/>
        </w:trPr>
        <w:tc>
          <w:tcPr>
            <w:tcW w:w="15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Пенообразователь</w:t>
            </w:r>
          </w:p>
        </w:tc>
        <w:tc>
          <w:tcPr>
            <w:tcW w:w="6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 xml:space="preserve">Устойчивость пены, </w:t>
            </w:r>
            <w:proofErr w:type="gramStart"/>
            <w:r>
              <w:rPr>
                <w:sz w:val="18"/>
                <w:szCs w:val="14"/>
              </w:rPr>
              <w:t>с</w:t>
            </w:r>
            <w:proofErr w:type="gramEnd"/>
            <w:r>
              <w:rPr>
                <w:sz w:val="18"/>
                <w:szCs w:val="14"/>
              </w:rPr>
              <w:t>, не менее</w:t>
            </w:r>
          </w:p>
        </w:tc>
      </w:tr>
      <w:tr w:rsidR="00FF3B2D">
        <w:trPr>
          <w:cantSplit/>
        </w:trPr>
        <w:tc>
          <w:tcPr>
            <w:tcW w:w="15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разрушение 50% объема пены средней кратности в емкости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200 дм</w:t>
            </w:r>
            <w:r>
              <w:rPr>
                <w:sz w:val="18"/>
                <w:szCs w:val="14"/>
                <w:vertAlign w:val="superscript"/>
              </w:rPr>
              <w:t>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выделение 50% объема жидкости из пены средней кратности (стенд, уст.)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выделение 50% объема жидкости из пены средней кратности в емкости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200 дм</w:t>
            </w:r>
            <w:r>
              <w:rPr>
                <w:sz w:val="18"/>
                <w:szCs w:val="14"/>
                <w:vertAlign w:val="superscript"/>
              </w:rPr>
              <w:t>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выделение 25% объема жидкости из пены низкой кратности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выделение 50% объема жидкости из пены высокой кратности (стенд, уст.)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разрушение 50% объема пены средней кратности (стенд, уст.)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ПО-6ЦТ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2100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ПО-6ТС-В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160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ПО-6ЦВУ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1200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ПО-6ЦНТ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ПО-6МТ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1200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ТЭАС-Н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ТЭАС-С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ПО-6ТС-М**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ПО-6НП-М**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840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ПО-4ЦМТ** (ране</w:t>
            </w:r>
            <w:proofErr w:type="gramStart"/>
            <w:r>
              <w:rPr>
                <w:sz w:val="18"/>
                <w:szCs w:val="16"/>
              </w:rPr>
              <w:t>е-</w:t>
            </w:r>
            <w:proofErr w:type="gramEnd"/>
            <w:r>
              <w:rPr>
                <w:sz w:val="18"/>
                <w:szCs w:val="16"/>
              </w:rPr>
              <w:t>«Морпен»)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280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«Урал Стандарт ННП»**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 (50%)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ПО-6НП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2700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«Морпен»**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450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ПО-6ЦСТ, марка 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160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ПО-6ЦСТ, марка 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160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ПО-6ЦБТ-М**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ПО-6СПМ**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720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ПО-6СПС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2100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ПО-6НПС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2700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 xml:space="preserve">* Данный показатель выделен в отдельную таблицу, поскольку производители определяют устойчивость пены по методикам как ГОСТ 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50588, так и НПБ 304-2001.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** Кратность и устойчивость пены для пенообразователей определяются с использованием пресной и морской воды.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right"/>
        <w:rPr>
          <w:szCs w:val="22"/>
        </w:rPr>
      </w:pPr>
      <w:r>
        <w:rPr>
          <w:szCs w:val="22"/>
        </w:rPr>
        <w:t>Таблица 4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Пенообразователи синтетические фторсодержащие пленкообразующие целевого назначения (тип </w:t>
      </w:r>
      <w:r>
        <w:rPr>
          <w:b/>
          <w:bCs/>
          <w:szCs w:val="22"/>
          <w:lang w:val="en-US"/>
        </w:rPr>
        <w:t>AFFF</w:t>
      </w:r>
      <w:r>
        <w:rPr>
          <w:b/>
          <w:bCs/>
          <w:szCs w:val="22"/>
        </w:rPr>
        <w:t>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1"/>
        <w:gridCol w:w="1268"/>
        <w:gridCol w:w="1827"/>
        <w:gridCol w:w="1424"/>
        <w:gridCol w:w="1291"/>
      </w:tblGrid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Показатель*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«Мультипена»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«Меркуловский»***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1%, 3%, 6%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«Нижегородский </w:t>
            </w:r>
            <w:r>
              <w:rPr>
                <w:sz w:val="18"/>
                <w:szCs w:val="14"/>
                <w:lang w:val="en-US"/>
              </w:rPr>
              <w:t>AFFF</w:t>
            </w:r>
            <w:r>
              <w:rPr>
                <w:sz w:val="18"/>
                <w:szCs w:val="14"/>
              </w:rPr>
              <w:t>»***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1%, 3%, 6%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ПО-6ЦФ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Плотность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кг/м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, в пределах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1030-1080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1000-1400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1020-1050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Температура застывания, °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выше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15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5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Минус 15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и минус 25 (1 %)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рН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в пределах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6,5-9,0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6,5-10,0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Концентрация рабочего раствора, % (</w:t>
            </w:r>
            <w:proofErr w:type="gramStart"/>
            <w:r>
              <w:rPr>
                <w:sz w:val="18"/>
                <w:szCs w:val="16"/>
              </w:rPr>
              <w:t>об</w:t>
            </w:r>
            <w:proofErr w:type="gramEnd"/>
            <w:r>
              <w:rPr>
                <w:sz w:val="18"/>
                <w:szCs w:val="16"/>
              </w:rPr>
              <w:t xml:space="preserve">.), не менее, </w:t>
            </w:r>
            <w:proofErr w:type="gramStart"/>
            <w:r>
              <w:rPr>
                <w:sz w:val="18"/>
                <w:szCs w:val="16"/>
              </w:rPr>
              <w:t>для</w:t>
            </w:r>
            <w:proofErr w:type="gramEnd"/>
            <w:r>
              <w:rPr>
                <w:sz w:val="18"/>
                <w:szCs w:val="16"/>
              </w:rPr>
              <w:t xml:space="preserve"> получения пены средней кратности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6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(из пенообразователя «Меркуловский» 1%)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1; 3; 6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Кратность пены: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2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низкая, не более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Не ниже 6</w:t>
            </w:r>
          </w:p>
        </w:tc>
        <w:tc>
          <w:tcPr>
            <w:tcW w:w="1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FF3B2D">
        <w:tc>
          <w:tcPr>
            <w:tcW w:w="2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средняя, не менее**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40 («Меркуловский» 1% при конц. 6% (об.))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FF3B2D">
        <w:tc>
          <w:tcPr>
            <w:tcW w:w="2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высокая, более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500 («Меркуловский» 1% при конц. 6% (об.))</w:t>
            </w: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1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lastRenderedPageBreak/>
              <w:t>Время тушения н-гептана (бензина АИ-80) пеной средней кратности (стендовая установка) при интенсивности подачи (0,032±0,002)дм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 xml:space="preserve">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Время тушения н-гептана (бензина АИ-80) пеной низкой кратности при интенсивности подачи (0,059±0,002)дм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 xml:space="preserve">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Гарантийный срок хранения, мес.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192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Номер ТУ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2480-002-34998211-01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2412-005-49888190-01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2412-004-53675123-02 (изм. № 1)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2412-010-22299560-2003</w:t>
            </w:r>
          </w:p>
        </w:tc>
      </w:tr>
    </w:tbl>
    <w:p w:rsidR="00FF3B2D" w:rsidRDefault="00FF3B2D">
      <w:pPr>
        <w:ind w:firstLine="284"/>
      </w:pPr>
    </w:p>
    <w:p w:rsidR="00FF3B2D" w:rsidRDefault="00B60BD4">
      <w:pPr>
        <w:ind w:firstLine="284"/>
        <w:jc w:val="right"/>
      </w:pPr>
      <w:r>
        <w:t>Продолжение таблицы 4</w:t>
      </w:r>
    </w:p>
    <w:p w:rsidR="00FF3B2D" w:rsidRDefault="00FF3B2D">
      <w:pPr>
        <w:ind w:firstLine="284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4"/>
        <w:gridCol w:w="1268"/>
        <w:gridCol w:w="1704"/>
        <w:gridCol w:w="1424"/>
        <w:gridCol w:w="1291"/>
      </w:tblGrid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Показатель*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ПО-6Ф3</w:t>
            </w:r>
            <w:r>
              <w:rPr>
                <w:sz w:val="18"/>
                <w:szCs w:val="24"/>
                <w:lang w:val="en-US"/>
              </w:rPr>
              <w:t>F</w:t>
            </w:r>
            <w:r>
              <w:rPr>
                <w:sz w:val="18"/>
                <w:szCs w:val="24"/>
              </w:rPr>
              <w:t>***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ПО-6ТФ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ПО-6ЦБФ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ПО-РЗФ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1%, 3%, 6%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Плотность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кг/м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, в пределах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1000-1200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Температура застывания, °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выше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рН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в пределах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Концентрация рабочего раствора, % (</w:t>
            </w:r>
            <w:proofErr w:type="gramStart"/>
            <w:r>
              <w:rPr>
                <w:sz w:val="18"/>
                <w:szCs w:val="16"/>
              </w:rPr>
              <w:t>об</w:t>
            </w:r>
            <w:proofErr w:type="gramEnd"/>
            <w:r>
              <w:rPr>
                <w:sz w:val="18"/>
                <w:szCs w:val="16"/>
              </w:rPr>
              <w:t xml:space="preserve">.), не менее, </w:t>
            </w:r>
            <w:proofErr w:type="gramStart"/>
            <w:r>
              <w:rPr>
                <w:sz w:val="18"/>
                <w:szCs w:val="16"/>
              </w:rPr>
              <w:t>для</w:t>
            </w:r>
            <w:proofErr w:type="gramEnd"/>
            <w:r>
              <w:rPr>
                <w:sz w:val="18"/>
                <w:szCs w:val="16"/>
              </w:rPr>
              <w:t xml:space="preserve"> получения пены средней кратности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1; 3; 6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Кратность пены: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26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низкая, не более</w:t>
            </w:r>
          </w:p>
        </w:tc>
        <w:tc>
          <w:tcPr>
            <w:tcW w:w="1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70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2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29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FF3B2D">
        <w:tc>
          <w:tcPr>
            <w:tcW w:w="26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средняя, не менее**</w:t>
            </w:r>
          </w:p>
        </w:tc>
        <w:tc>
          <w:tcPr>
            <w:tcW w:w="12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70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40 (кроме марки Б)</w:t>
            </w:r>
          </w:p>
        </w:tc>
        <w:tc>
          <w:tcPr>
            <w:tcW w:w="142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29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FF3B2D">
        <w:tc>
          <w:tcPr>
            <w:tcW w:w="26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высокая, более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7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500 (кроме марки Б)</w:t>
            </w:r>
          </w:p>
        </w:tc>
        <w:tc>
          <w:tcPr>
            <w:tcW w:w="14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Время тушения н-гептана (бензина АИ-80) пеной средней кратности (стендовая установка) при интенсивности подачи (0,032±0,002) 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 xml:space="preserve">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Время тушения н-гептана (бензина АИ-80) пеной низкой кратности при интенсивности подачи (0,059±0,002) 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 xml:space="preserve">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Гарантийный срок хранения, мес.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</w:tr>
      <w:tr w:rsidR="00FF3B2D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Номер ТУ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241279-002-49888190-98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2412-190-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05744685-2002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2412-025-22657427-2004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2412-003-78148123-2005</w:t>
            </w:r>
          </w:p>
        </w:tc>
      </w:tr>
    </w:tbl>
    <w:p w:rsidR="00FF3B2D" w:rsidRDefault="00FF3B2D">
      <w:pPr>
        <w:ind w:firstLine="284"/>
      </w:pPr>
    </w:p>
    <w:p w:rsidR="00FF3B2D" w:rsidRDefault="00B60BD4">
      <w:pPr>
        <w:ind w:firstLine="284"/>
        <w:jc w:val="right"/>
      </w:pPr>
      <w:r>
        <w:t>Окончание таблицы 4</w:t>
      </w:r>
    </w:p>
    <w:p w:rsidR="00FF3B2D" w:rsidRDefault="00FF3B2D">
      <w:pPr>
        <w:ind w:firstLine="284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1"/>
        <w:gridCol w:w="1578"/>
        <w:gridCol w:w="1559"/>
        <w:gridCol w:w="1382"/>
        <w:gridCol w:w="1291"/>
      </w:tblGrid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Показатель*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«Натиск НК»***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3%, 6%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«Натиск НСК»***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3%, 6%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«Шторм-Ф»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«Шторм-М»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Плотность при 20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6"/>
              </w:rPr>
              <w:t>°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, кг/м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, в пределах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1000-1200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Не более 1300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Не более 1300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 xml:space="preserve">Температура застывания, </w:t>
            </w:r>
            <w:r>
              <w:rPr>
                <w:sz w:val="18"/>
                <w:szCs w:val="16"/>
              </w:rPr>
              <w:t>°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, не выше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5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15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Минус 15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рН при 20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6"/>
              </w:rPr>
              <w:t>°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, в пределах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6,5-10,0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6,5-10,0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6,5-9,0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6,5-9,0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Концентрация рабочего раствора, % (</w:t>
            </w:r>
            <w:proofErr w:type="gramStart"/>
            <w:r>
              <w:rPr>
                <w:sz w:val="18"/>
                <w:szCs w:val="18"/>
              </w:rPr>
              <w:t>об</w:t>
            </w:r>
            <w:proofErr w:type="gramEnd"/>
            <w:r>
              <w:rPr>
                <w:sz w:val="18"/>
                <w:szCs w:val="18"/>
              </w:rPr>
              <w:t xml:space="preserve">.), не менее,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получения пены средней кратности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3; 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3; 6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3; 6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Кратность пены: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256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 низкая, не более</w:t>
            </w:r>
          </w:p>
        </w:tc>
        <w:tc>
          <w:tcPr>
            <w:tcW w:w="157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38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9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FF3B2D">
        <w:tc>
          <w:tcPr>
            <w:tcW w:w="2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 средняя, не менее**</w:t>
            </w:r>
          </w:p>
        </w:tc>
        <w:tc>
          <w:tcPr>
            <w:tcW w:w="15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3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2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- высокая, более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Время тушения н-гептана (бензина АИ-80) пеной средней кратности (стендовая установка) при интенсивности подачи (0,032±0,002)</w:t>
            </w:r>
            <w:r>
              <w:rPr>
                <w:sz w:val="18"/>
                <w:szCs w:val="16"/>
              </w:rPr>
              <w:t>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, не более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Гарантийный срок хранения, мес.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180</w:t>
            </w:r>
          </w:p>
        </w:tc>
      </w:tr>
      <w:tr w:rsidR="00FF3B2D"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Номер ТУ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2480-002-59612419-2003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2480-001-59612419-2003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2480-001-58473364-03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2480-002-58473364-03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* Некоторые показатели для приведенных в таблице пенообразователей одинаковые: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1. Внешний вид - однородная жидкость без осадка и расслоения.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2. Кинематическая вязкость при 20</w:t>
      </w:r>
      <w:proofErr w:type="gramStart"/>
      <w:r>
        <w:rPr>
          <w:sz w:val="18"/>
          <w:szCs w:val="18"/>
        </w:rPr>
        <w:t xml:space="preserve"> °С</w:t>
      </w:r>
      <w:proofErr w:type="gramEnd"/>
      <w:r>
        <w:rPr>
          <w:sz w:val="18"/>
          <w:szCs w:val="18"/>
        </w:rPr>
        <w:t xml:space="preserve"> - не более 200 мм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·с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** Жесткость питьевой воды для получения пены средней кратности: не выше 7 мг-экв·л</w:t>
      </w:r>
      <w:r>
        <w:rPr>
          <w:sz w:val="18"/>
          <w:szCs w:val="18"/>
          <w:vertAlign w:val="superscript"/>
        </w:rPr>
        <w:sym w:font="Symbol" w:char="F02D"/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(7 °Ж по ГОСТ 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52029).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*** Кратность и устойчивость пены для пенообразователей определяются с использованием пресной и морской воды.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right"/>
      </w:pPr>
      <w:r>
        <w:t>Таблица 5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</w:rPr>
      </w:pPr>
      <w:r>
        <w:rPr>
          <w:b/>
          <w:bCs/>
        </w:rPr>
        <w:t xml:space="preserve">Устойчивость пены для пенообразователей синтетических фторсодержащих пленкообразующих целевого назначения (тип </w:t>
      </w:r>
      <w:r>
        <w:rPr>
          <w:b/>
          <w:bCs/>
          <w:lang w:val="en-US"/>
        </w:rPr>
        <w:t>AFFF</w:t>
      </w:r>
      <w:r>
        <w:rPr>
          <w:b/>
          <w:bCs/>
        </w:rPr>
        <w:t>)*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1462"/>
        <w:gridCol w:w="1389"/>
        <w:gridCol w:w="1372"/>
        <w:gridCol w:w="1211"/>
        <w:gridCol w:w="1363"/>
      </w:tblGrid>
      <w:tr w:rsidR="00FF3B2D">
        <w:trPr>
          <w:cantSplit/>
        </w:trPr>
        <w:tc>
          <w:tcPr>
            <w:tcW w:w="1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Пенообразователь</w:t>
            </w:r>
          </w:p>
        </w:tc>
        <w:tc>
          <w:tcPr>
            <w:tcW w:w="6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 xml:space="preserve">Устойчивость пены,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, не менее</w:t>
            </w:r>
          </w:p>
        </w:tc>
      </w:tr>
      <w:tr w:rsidR="00FF3B2D">
        <w:trPr>
          <w:cantSplit/>
        </w:trPr>
        <w:tc>
          <w:tcPr>
            <w:tcW w:w="1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разрушение 50% объема пены средней кратности в емкости 200 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выделение 50% объема жидкости из пены средней кратности (стенд, уст.)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выделение 50% объема жидкости из пены средней кратности в емкости 200 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выделение 50% объема жидкости из пены низкой кратности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выделение 50% объема жидкости из пены высокой кратности (стенд, уст.)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«Мультипена»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</w:t>
            </w:r>
            <w:r>
              <w:rPr>
                <w:rFonts w:cs="Arial"/>
                <w:sz w:val="18"/>
                <w:szCs w:val="18"/>
              </w:rPr>
              <w:t>Меркуловский»**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600 («Меркуловский» 1% при конц. 6% (об.))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60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 xml:space="preserve">«Нижегородский </w:t>
            </w:r>
            <w:r>
              <w:rPr>
                <w:sz w:val="18"/>
                <w:szCs w:val="18"/>
                <w:lang w:val="en-US"/>
              </w:rPr>
              <w:t>AFFF</w:t>
            </w:r>
            <w:r>
              <w:rPr>
                <w:sz w:val="18"/>
                <w:szCs w:val="18"/>
              </w:rPr>
              <w:t>»**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240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120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240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ПО-6ЦФ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П</w:t>
            </w:r>
            <w:r>
              <w:rPr>
                <w:rFonts w:cs="Arial"/>
                <w:sz w:val="18"/>
                <w:szCs w:val="18"/>
                <w:lang w:val="en-US"/>
              </w:rPr>
              <w:t>O</w:t>
            </w:r>
            <w:r>
              <w:rPr>
                <w:rFonts w:cs="Arial"/>
                <w:sz w:val="18"/>
                <w:szCs w:val="18"/>
              </w:rPr>
              <w:t>-6</w:t>
            </w:r>
            <w:r>
              <w:rPr>
                <w:rFonts w:cs="Arial"/>
                <w:sz w:val="18"/>
                <w:szCs w:val="18"/>
                <w:lang w:val="en-US"/>
              </w:rPr>
              <w:t>A</w:t>
            </w:r>
            <w:r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  <w:lang w:val="en-US"/>
              </w:rPr>
              <w:t>F</w:t>
            </w:r>
            <w:r>
              <w:rPr>
                <w:rFonts w:cs="Arial"/>
                <w:sz w:val="18"/>
                <w:szCs w:val="18"/>
              </w:rPr>
              <w:t>**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600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150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60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ПО-6ТФ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ПО-6ЦБФ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ПО-РЗФ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2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«Натиск НК»**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60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2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«Натиск НСК»**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120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90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2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«Шторм-Ф»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2"/>
              </w:rPr>
              <w:t>-</w:t>
            </w:r>
          </w:p>
        </w:tc>
      </w:tr>
      <w:tr w:rsidR="00FF3B2D"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8"/>
              </w:rPr>
              <w:t>«Шторм-М»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2"/>
              </w:rPr>
              <w:t>-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</w:rPr>
              <w:t>200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2"/>
              </w:rPr>
              <w:t>-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 xml:space="preserve">* Данный показатель выделен в отдельную таблицу, поскольку производители определяют устойчивость пены по методикам как ГОСТ 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50588, так и НПБ 304-2001.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** Кратность и устойчивость пены для пенообразователей определяются с использованием пресной и морской воды.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  <w:sectPr w:rsidR="00FF3B2D">
          <w:pgSz w:w="11909" w:h="16834" w:code="9"/>
          <w:pgMar w:top="1440" w:right="1797" w:bottom="1440" w:left="1797" w:header="720" w:footer="720" w:gutter="0"/>
          <w:cols w:space="720"/>
          <w:noEndnote/>
        </w:sectPr>
      </w:pPr>
    </w:p>
    <w:p w:rsidR="00FF3B2D" w:rsidRDefault="00B60BD4">
      <w:pPr>
        <w:shd w:val="clear" w:color="auto" w:fill="FFFFFF"/>
        <w:ind w:firstLine="284"/>
        <w:jc w:val="right"/>
      </w:pPr>
      <w:r>
        <w:lastRenderedPageBreak/>
        <w:t>Таблица 6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</w:rPr>
      </w:pPr>
      <w:r>
        <w:rPr>
          <w:b/>
          <w:bCs/>
        </w:rPr>
        <w:t xml:space="preserve">Пенообразователи синтетические фторсодержащие пленкообразующие для тушения водорастворимых (полярных) горючих жидкостей (тип </w:t>
      </w:r>
      <w:r>
        <w:rPr>
          <w:b/>
          <w:bCs/>
          <w:lang w:val="en-US"/>
        </w:rPr>
        <w:t>AR</w:t>
      </w:r>
      <w:r>
        <w:rPr>
          <w:b/>
          <w:bCs/>
        </w:rPr>
        <w:t>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5"/>
        <w:gridCol w:w="1557"/>
        <w:gridCol w:w="1071"/>
        <w:gridCol w:w="986"/>
        <w:gridCol w:w="1181"/>
        <w:gridCol w:w="1012"/>
        <w:gridCol w:w="919"/>
      </w:tblGrid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Показатель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 xml:space="preserve">«Нижегородский </w:t>
            </w:r>
            <w:r>
              <w:rPr>
                <w:sz w:val="18"/>
                <w:szCs w:val="16"/>
                <w:lang w:val="en-US"/>
              </w:rPr>
              <w:t>AFFF</w:t>
            </w:r>
            <w:r>
              <w:rPr>
                <w:sz w:val="18"/>
                <w:szCs w:val="16"/>
              </w:rPr>
              <w:t xml:space="preserve"> универсальный»**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ПО-6ТФ-У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ПО-6ЦФП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«Полярный»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3%; 6%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«Пенофор»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ПО-РЗП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3%; 6%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Плотность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кг/м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, в пределах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1000-1050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1000-1200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1000-1400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1000-1200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1000-1200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Кинематическая вязкость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мм</w:t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Температура застывания, °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выше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Минус 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Минус 5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рН при 20</w:t>
            </w:r>
            <w:proofErr w:type="gramStart"/>
            <w:r>
              <w:rPr>
                <w:sz w:val="18"/>
                <w:szCs w:val="16"/>
              </w:rPr>
              <w:t xml:space="preserve"> °С</w:t>
            </w:r>
            <w:proofErr w:type="gramEnd"/>
            <w:r>
              <w:rPr>
                <w:sz w:val="18"/>
                <w:szCs w:val="16"/>
              </w:rPr>
              <w:t>, в пределах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6,5-10,0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6,5-10,0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6,5-10,0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6,5-10,0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6,5-10,0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Концентрация рабочего раствора, % (</w:t>
            </w:r>
            <w:proofErr w:type="gramStart"/>
            <w:r>
              <w:rPr>
                <w:sz w:val="18"/>
                <w:szCs w:val="16"/>
              </w:rPr>
              <w:t>об</w:t>
            </w:r>
            <w:proofErr w:type="gramEnd"/>
            <w:r>
              <w:rPr>
                <w:sz w:val="18"/>
                <w:szCs w:val="16"/>
              </w:rPr>
              <w:t xml:space="preserve">.), не менее, </w:t>
            </w:r>
            <w:proofErr w:type="gramStart"/>
            <w:r>
              <w:rPr>
                <w:sz w:val="18"/>
                <w:szCs w:val="16"/>
              </w:rPr>
              <w:t>для</w:t>
            </w:r>
            <w:proofErr w:type="gramEnd"/>
            <w:r>
              <w:rPr>
                <w:sz w:val="18"/>
                <w:szCs w:val="16"/>
              </w:rPr>
              <w:t xml:space="preserve"> получения пены средней кратности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3; 6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Кратность пены: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-низкая, не более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средняя, не менее*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40 (кроме марки Б)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- высокая, не менее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</w:tr>
      <w:tr w:rsidR="00FF3B2D"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 xml:space="preserve">Устойчивость пены,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менее: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 w:val="18"/>
                <w:szCs w:val="24"/>
              </w:rPr>
            </w:pP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выделение 50 % объема жидкости из пены низкой кратности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200</w:t>
            </w:r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(марка Б)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разрушение 50 % объема пены средней кратности в емкости вместимостью 200 дм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1200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1200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4"/>
              </w:rPr>
              <w:t>1200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выделение 50 % объема жидкости из пены средней кратности, полученной на стендовой установке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240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200</w:t>
            </w:r>
          </w:p>
        </w:tc>
      </w:tr>
      <w:tr w:rsidR="00FF3B2D">
        <w:tc>
          <w:tcPr>
            <w:tcW w:w="16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142"/>
              <w:jc w:val="both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- выделение 50 % объема жидкости из пены высокой кратности, полученной на стендовой установке</w:t>
            </w:r>
          </w:p>
        </w:tc>
        <w:tc>
          <w:tcPr>
            <w:tcW w:w="15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1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0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Время тушения н-гептана (бензина АИ-80) пеной средней кратности (стендовая установка) при интенсивности подачи (0,032±0,002) 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 xml:space="preserve">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300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lastRenderedPageBreak/>
              <w:t>Время тушения ацетона пеной средней кратности при интенсивности подачи (0,080±0,005) 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 xml:space="preserve">, </w:t>
            </w:r>
            <w:proofErr w:type="gramStart"/>
            <w:r>
              <w:rPr>
                <w:sz w:val="18"/>
                <w:szCs w:val="16"/>
              </w:rPr>
              <w:t>с</w:t>
            </w:r>
            <w:proofErr w:type="gramEnd"/>
            <w:r>
              <w:rPr>
                <w:sz w:val="18"/>
                <w:szCs w:val="16"/>
              </w:rPr>
              <w:t>, не более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sz w:val="18"/>
                <w:szCs w:val="16"/>
              </w:rPr>
              <w:t>180 (низкократная пена</w:t>
            </w:r>
            <w:proofErr w:type="gramEnd"/>
          </w:p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 xml:space="preserve">(0,11±0,002) </w:t>
            </w:r>
            <w:r>
              <w:rPr>
                <w:sz w:val="18"/>
                <w:szCs w:val="16"/>
              </w:rPr>
              <w:t>дм</w:t>
            </w:r>
            <w:r>
              <w:rPr>
                <w:sz w:val="18"/>
                <w:szCs w:val="16"/>
                <w:vertAlign w:val="superscript"/>
              </w:rPr>
              <w:t>3</w:t>
            </w:r>
            <w:r>
              <w:rPr>
                <w:sz w:val="18"/>
                <w:szCs w:val="16"/>
              </w:rPr>
              <w:t>·м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2</w:t>
            </w:r>
            <w:r>
              <w:rPr>
                <w:sz w:val="18"/>
                <w:szCs w:val="16"/>
              </w:rPr>
              <w:t>·с</w:t>
            </w:r>
            <w:r>
              <w:rPr>
                <w:sz w:val="18"/>
                <w:szCs w:val="16"/>
                <w:vertAlign w:val="superscript"/>
              </w:rPr>
              <w:sym w:font="Symbol" w:char="F02D"/>
            </w:r>
            <w:r>
              <w:rPr>
                <w:sz w:val="18"/>
                <w:szCs w:val="16"/>
                <w:vertAlign w:val="superscript"/>
              </w:rPr>
              <w:t>1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Гарантийный срок хранения, мес.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192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</w:tr>
      <w:tr w:rsidR="00FF3B2D"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16"/>
              </w:rPr>
              <w:t>Номер ТУ</w:t>
            </w: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2412-005-53675123-03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2412-191-05744685-2002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2412-011-22299560-2003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2412-004-4988190-01</w:t>
            </w:r>
          </w:p>
        </w:tc>
        <w:tc>
          <w:tcPr>
            <w:tcW w:w="10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2412-001- 39428955- 2003</w:t>
            </w:r>
          </w:p>
        </w:tc>
        <w:tc>
          <w:tcPr>
            <w:tcW w:w="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 w:val="18"/>
                <w:szCs w:val="24"/>
              </w:rPr>
            </w:pPr>
            <w:r>
              <w:rPr>
                <w:rFonts w:cs="Arial"/>
                <w:sz w:val="18"/>
                <w:szCs w:val="16"/>
              </w:rPr>
              <w:t>2412-004-78148123-2005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6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6"/>
        </w:rPr>
      </w:pPr>
      <w:r>
        <w:rPr>
          <w:sz w:val="18"/>
          <w:szCs w:val="16"/>
        </w:rPr>
        <w:t>* Для всех пенообразователей при жесткости питьевой воды не выше 7 мг-экв·л</w:t>
      </w:r>
      <w:r>
        <w:rPr>
          <w:sz w:val="18"/>
          <w:szCs w:val="16"/>
          <w:vertAlign w:val="superscript"/>
        </w:rPr>
        <w:sym w:font="Symbol" w:char="F02D"/>
      </w:r>
      <w:r>
        <w:rPr>
          <w:sz w:val="18"/>
          <w:szCs w:val="16"/>
          <w:vertAlign w:val="superscript"/>
        </w:rPr>
        <w:t>1</w:t>
      </w:r>
      <w:r>
        <w:rPr>
          <w:sz w:val="18"/>
          <w:szCs w:val="16"/>
        </w:rPr>
        <w:t xml:space="preserve"> (7 °Ж по ГОСТ </w:t>
      </w:r>
      <w:proofErr w:type="gramStart"/>
      <w:r>
        <w:rPr>
          <w:sz w:val="18"/>
          <w:szCs w:val="16"/>
        </w:rPr>
        <w:t>Р</w:t>
      </w:r>
      <w:proofErr w:type="gramEnd"/>
      <w:r>
        <w:rPr>
          <w:sz w:val="18"/>
          <w:szCs w:val="16"/>
        </w:rPr>
        <w:t xml:space="preserve"> 52029).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6"/>
        </w:rPr>
      </w:pPr>
      <w:r>
        <w:rPr>
          <w:sz w:val="18"/>
          <w:szCs w:val="16"/>
        </w:rPr>
        <w:t>** Все показатели определяются с использованием пресной и морской воды.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right"/>
      </w:pPr>
      <w:r>
        <w:t>Таблица 7</w:t>
      </w:r>
    </w:p>
    <w:p w:rsidR="00FF3B2D" w:rsidRDefault="00FF3B2D">
      <w:pPr>
        <w:shd w:val="clear" w:color="auto" w:fill="FFFFFF"/>
        <w:ind w:firstLine="284"/>
        <w:jc w:val="both"/>
        <w:rPr>
          <w:i/>
          <w:iCs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</w:rPr>
      </w:pPr>
      <w:r>
        <w:rPr>
          <w:b/>
          <w:bCs/>
        </w:rPr>
        <w:t>Пенообразователь фторпротеиновый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2"/>
        <w:gridCol w:w="3079"/>
      </w:tblGrid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>Показатель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 xml:space="preserve">«Нижегородский </w:t>
            </w:r>
            <w:r>
              <w:rPr>
                <w:szCs w:val="18"/>
                <w:lang w:val="en-US"/>
              </w:rPr>
              <w:t>FFFP</w:t>
            </w:r>
            <w:r>
              <w:rPr>
                <w:szCs w:val="18"/>
              </w:rPr>
              <w:t>»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Внешний вид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>Однородная жидкость без осадка и расслоения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Плотность при 20</w:t>
            </w:r>
            <w:proofErr w:type="gramStart"/>
            <w:r>
              <w:rPr>
                <w:szCs w:val="18"/>
              </w:rPr>
              <w:t xml:space="preserve"> °С</w:t>
            </w:r>
            <w:proofErr w:type="gramEnd"/>
            <w:r>
              <w:rPr>
                <w:szCs w:val="18"/>
              </w:rPr>
              <w:t>, кг/м</w:t>
            </w:r>
            <w:r>
              <w:rPr>
                <w:szCs w:val="18"/>
                <w:vertAlign w:val="superscript"/>
              </w:rPr>
              <w:t>3</w:t>
            </w:r>
            <w:r>
              <w:rPr>
                <w:szCs w:val="18"/>
              </w:rPr>
              <w:t>, в пределах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1110-1130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Кинематическая вязкость при 20</w:t>
            </w:r>
            <w:proofErr w:type="gramStart"/>
            <w:r>
              <w:rPr>
                <w:szCs w:val="18"/>
              </w:rPr>
              <w:t xml:space="preserve"> °С</w:t>
            </w:r>
            <w:proofErr w:type="gramEnd"/>
            <w:r>
              <w:rPr>
                <w:szCs w:val="18"/>
              </w:rPr>
              <w:t>, мм</w:t>
            </w:r>
            <w:r>
              <w:rPr>
                <w:szCs w:val="18"/>
                <w:vertAlign w:val="superscript"/>
              </w:rPr>
              <w:t>2</w:t>
            </w:r>
            <w:r>
              <w:rPr>
                <w:szCs w:val="18"/>
              </w:rPr>
              <w:t>·с</w:t>
            </w:r>
            <w:r>
              <w:rPr>
                <w:szCs w:val="18"/>
                <w:vertAlign w:val="superscript"/>
              </w:rPr>
              <w:sym w:font="Symbol" w:char="F02D"/>
            </w:r>
            <w:r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, не более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6-10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Температура застывания, °</w:t>
            </w:r>
            <w:proofErr w:type="gramStart"/>
            <w:r>
              <w:rPr>
                <w:szCs w:val="18"/>
              </w:rPr>
              <w:t>С</w:t>
            </w:r>
            <w:proofErr w:type="gramEnd"/>
            <w:r>
              <w:rPr>
                <w:szCs w:val="18"/>
              </w:rPr>
              <w:t>, не выше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proofErr w:type="gramStart"/>
            <w:r>
              <w:rPr>
                <w:szCs w:val="18"/>
              </w:rPr>
              <w:t>От</w:t>
            </w:r>
            <w:proofErr w:type="gramEnd"/>
            <w:r>
              <w:rPr>
                <w:szCs w:val="18"/>
              </w:rPr>
              <w:t xml:space="preserve"> минус 15 до минус 40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рН при 20</w:t>
            </w:r>
            <w:proofErr w:type="gramStart"/>
            <w:r>
              <w:rPr>
                <w:szCs w:val="18"/>
              </w:rPr>
              <w:t xml:space="preserve"> °С</w:t>
            </w:r>
            <w:proofErr w:type="gramEnd"/>
            <w:r>
              <w:rPr>
                <w:szCs w:val="18"/>
              </w:rPr>
              <w:t>, в пределах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6,5-7,5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Концентрация рабочего раствора, % (</w:t>
            </w:r>
            <w:proofErr w:type="gramStart"/>
            <w:r>
              <w:rPr>
                <w:szCs w:val="18"/>
              </w:rPr>
              <w:t>об</w:t>
            </w:r>
            <w:proofErr w:type="gramEnd"/>
            <w:r>
              <w:rPr>
                <w:szCs w:val="18"/>
              </w:rPr>
              <w:t xml:space="preserve">.), не менее, </w:t>
            </w:r>
            <w:proofErr w:type="gramStart"/>
            <w:r>
              <w:rPr>
                <w:szCs w:val="18"/>
              </w:rPr>
              <w:t>для</w:t>
            </w:r>
            <w:proofErr w:type="gramEnd"/>
            <w:r>
              <w:rPr>
                <w:szCs w:val="18"/>
              </w:rPr>
              <w:t xml:space="preserve"> получения пены низкой и средней кратности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6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Кратность пены: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FF3B2D">
        <w:tc>
          <w:tcPr>
            <w:tcW w:w="52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Cs w:val="24"/>
              </w:rPr>
            </w:pPr>
            <w:r>
              <w:rPr>
                <w:rFonts w:cs="Arial"/>
                <w:szCs w:val="18"/>
              </w:rPr>
              <w:t>- низкая, не более</w:t>
            </w:r>
          </w:p>
        </w:tc>
        <w:tc>
          <w:tcPr>
            <w:tcW w:w="3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20</w:t>
            </w:r>
          </w:p>
        </w:tc>
      </w:tr>
      <w:tr w:rsidR="00FF3B2D">
        <w:tc>
          <w:tcPr>
            <w:tcW w:w="52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firstLine="284"/>
              <w:jc w:val="both"/>
              <w:rPr>
                <w:szCs w:val="24"/>
              </w:rPr>
            </w:pPr>
            <w:r>
              <w:rPr>
                <w:rFonts w:cs="Arial"/>
                <w:szCs w:val="18"/>
              </w:rPr>
              <w:t>- средняя, не менее*</w:t>
            </w:r>
          </w:p>
        </w:tc>
        <w:tc>
          <w:tcPr>
            <w:tcW w:w="3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40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 xml:space="preserve">Устойчивость пены, </w:t>
            </w:r>
            <w:proofErr w:type="gramStart"/>
            <w:r>
              <w:rPr>
                <w:szCs w:val="18"/>
              </w:rPr>
              <w:t>с</w:t>
            </w:r>
            <w:proofErr w:type="gramEnd"/>
            <w:r>
              <w:rPr>
                <w:szCs w:val="18"/>
              </w:rPr>
              <w:t xml:space="preserve">, не менее: 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FF3B2D">
        <w:tc>
          <w:tcPr>
            <w:tcW w:w="52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284"/>
              <w:jc w:val="both"/>
              <w:rPr>
                <w:szCs w:val="18"/>
              </w:rPr>
            </w:pPr>
            <w:r>
              <w:rPr>
                <w:szCs w:val="18"/>
              </w:rPr>
              <w:t>- выделение 50 % объема жидкости из пены низкой кратности</w:t>
            </w:r>
          </w:p>
        </w:tc>
        <w:tc>
          <w:tcPr>
            <w:tcW w:w="307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120</w:t>
            </w:r>
          </w:p>
        </w:tc>
      </w:tr>
      <w:tr w:rsidR="00FF3B2D">
        <w:tc>
          <w:tcPr>
            <w:tcW w:w="52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ind w:left="284"/>
              <w:jc w:val="both"/>
              <w:rPr>
                <w:szCs w:val="18"/>
              </w:rPr>
            </w:pPr>
            <w:r>
              <w:rPr>
                <w:szCs w:val="18"/>
              </w:rPr>
              <w:t>- выделение 50 % объема жидкости из пены средней кратности, полученной на стендовой установке</w:t>
            </w:r>
          </w:p>
        </w:tc>
        <w:tc>
          <w:tcPr>
            <w:tcW w:w="3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240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Время тушения н-гептана (бензина АИ-80) пеной низкой кратности при интенсивности подачи (0,059±0,005) дм</w:t>
            </w:r>
            <w:r>
              <w:rPr>
                <w:szCs w:val="18"/>
                <w:vertAlign w:val="superscript"/>
              </w:rPr>
              <w:t>3</w:t>
            </w:r>
            <w:r>
              <w:rPr>
                <w:szCs w:val="18"/>
              </w:rPr>
              <w:t>·м</w:t>
            </w:r>
            <w:r>
              <w:rPr>
                <w:szCs w:val="18"/>
                <w:vertAlign w:val="superscript"/>
              </w:rPr>
              <w:sym w:font="Symbol" w:char="F02D"/>
            </w:r>
            <w:r>
              <w:rPr>
                <w:szCs w:val="18"/>
                <w:vertAlign w:val="superscript"/>
              </w:rPr>
              <w:t>2</w:t>
            </w:r>
            <w:r>
              <w:rPr>
                <w:szCs w:val="18"/>
              </w:rPr>
              <w:t>·с</w:t>
            </w:r>
            <w:r>
              <w:rPr>
                <w:szCs w:val="18"/>
                <w:vertAlign w:val="superscript"/>
              </w:rPr>
              <w:sym w:font="Symbol" w:char="F02D"/>
            </w:r>
            <w:r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 xml:space="preserve">, </w:t>
            </w:r>
            <w:proofErr w:type="gramStart"/>
            <w:r>
              <w:rPr>
                <w:szCs w:val="18"/>
              </w:rPr>
              <w:t>с</w:t>
            </w:r>
            <w:proofErr w:type="gramEnd"/>
            <w:r>
              <w:rPr>
                <w:szCs w:val="18"/>
              </w:rPr>
              <w:t>, не более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120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Время тушения н-гептана (бензина АИ-80) пеной средней кратности при интенсивности подачи (0,032±0,002) дм</w:t>
            </w:r>
            <w:r>
              <w:rPr>
                <w:szCs w:val="18"/>
                <w:vertAlign w:val="superscript"/>
              </w:rPr>
              <w:t>3</w:t>
            </w:r>
            <w:r>
              <w:rPr>
                <w:szCs w:val="18"/>
              </w:rPr>
              <w:t>·м</w:t>
            </w:r>
            <w:r>
              <w:rPr>
                <w:szCs w:val="18"/>
                <w:vertAlign w:val="superscript"/>
              </w:rPr>
              <w:sym w:font="Symbol" w:char="F02D"/>
            </w:r>
            <w:r>
              <w:rPr>
                <w:szCs w:val="18"/>
                <w:vertAlign w:val="superscript"/>
              </w:rPr>
              <w:t>2</w:t>
            </w:r>
            <w:r>
              <w:rPr>
                <w:szCs w:val="18"/>
              </w:rPr>
              <w:t>·с</w:t>
            </w:r>
            <w:r>
              <w:rPr>
                <w:szCs w:val="18"/>
                <w:vertAlign w:val="superscript"/>
              </w:rPr>
              <w:sym w:font="Symbol" w:char="F02D"/>
            </w:r>
            <w:r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 xml:space="preserve">, </w:t>
            </w:r>
            <w:proofErr w:type="gramStart"/>
            <w:r>
              <w:rPr>
                <w:szCs w:val="18"/>
              </w:rPr>
              <w:t>с</w:t>
            </w:r>
            <w:proofErr w:type="gramEnd"/>
            <w:r>
              <w:rPr>
                <w:szCs w:val="18"/>
              </w:rPr>
              <w:t>, не более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120</w:t>
            </w:r>
          </w:p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(полигон 1,73 м</w:t>
            </w:r>
            <w:proofErr w:type="gramStart"/>
            <w:r>
              <w:rPr>
                <w:rFonts w:cs="Arial"/>
                <w:szCs w:val="18"/>
                <w:vertAlign w:val="superscript"/>
              </w:rPr>
              <w:t>2</w:t>
            </w:r>
            <w:proofErr w:type="gramEnd"/>
            <w:r>
              <w:rPr>
                <w:rFonts w:cs="Arial"/>
                <w:szCs w:val="18"/>
              </w:rPr>
              <w:t>)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Гарантийный срок хранения, мес.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192</w:t>
            </w:r>
          </w:p>
        </w:tc>
      </w:tr>
      <w:tr w:rsidR="00FF3B2D">
        <w:tc>
          <w:tcPr>
            <w:tcW w:w="5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8"/>
              </w:rPr>
              <w:t>Номер ТУ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4854-001-53675123-00 (изм. № 1)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6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6"/>
        </w:rPr>
      </w:pPr>
      <w:r>
        <w:rPr>
          <w:sz w:val="18"/>
          <w:szCs w:val="16"/>
        </w:rPr>
        <w:t>* Жесткость питьевой воды не выше 7 мг-экв·л</w:t>
      </w:r>
      <w:r>
        <w:rPr>
          <w:sz w:val="18"/>
          <w:szCs w:val="16"/>
          <w:vertAlign w:val="superscript"/>
        </w:rPr>
        <w:sym w:font="Symbol" w:char="F02D"/>
      </w:r>
      <w:r>
        <w:rPr>
          <w:sz w:val="18"/>
          <w:szCs w:val="16"/>
          <w:vertAlign w:val="superscript"/>
        </w:rPr>
        <w:t>1</w:t>
      </w:r>
      <w:r>
        <w:rPr>
          <w:sz w:val="18"/>
          <w:szCs w:val="16"/>
        </w:rPr>
        <w:t xml:space="preserve"> (7 °Ж по ГОСТ </w:t>
      </w:r>
      <w:proofErr w:type="gramStart"/>
      <w:r>
        <w:rPr>
          <w:sz w:val="18"/>
          <w:szCs w:val="16"/>
        </w:rPr>
        <w:t>Р</w:t>
      </w:r>
      <w:proofErr w:type="gramEnd"/>
      <w:r>
        <w:rPr>
          <w:sz w:val="18"/>
          <w:szCs w:val="16"/>
        </w:rPr>
        <w:t xml:space="preserve"> 52029).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  <w:sectPr w:rsidR="00FF3B2D">
          <w:pgSz w:w="11909" w:h="16834" w:code="9"/>
          <w:pgMar w:top="1440" w:right="1797" w:bottom="1440" w:left="1797" w:header="720" w:footer="720" w:gutter="0"/>
          <w:cols w:space="720"/>
          <w:noEndnote/>
        </w:sectPr>
      </w:pP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>ПРИЛОЖЕНИЕ Б</w:t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t>(информационное)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ПЕРЕЧЕНЬ ПРЕДПРИЯТИЙ РОССИИ, ИЗГОТАВЛИВАЮЩИХ ПЕНООБРАЗОВАТЕЛИ, УКАЗАННЫЕ В НАСТОЯЩИХ РЕКОМЕНДАЦИЯХ*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1. ЗАО «Актив-Альянс», г. Москва - «Натиск ОН», «Натиск НК», «Натиск НСК».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2. ОАО «Бератон», г. Березники, </w:t>
      </w:r>
      <w:proofErr w:type="gramStart"/>
      <w:r>
        <w:rPr>
          <w:szCs w:val="24"/>
        </w:rPr>
        <w:t>Пермская</w:t>
      </w:r>
      <w:proofErr w:type="gramEnd"/>
      <w:r>
        <w:rPr>
          <w:szCs w:val="24"/>
        </w:rPr>
        <w:t xml:space="preserve"> обл. - ПО-6СБ, ПО-6СБЦ.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3. ООО «Завод Спецхимпродукт», пгт Редкино, </w:t>
      </w:r>
      <w:proofErr w:type="gramStart"/>
      <w:r>
        <w:rPr>
          <w:szCs w:val="24"/>
        </w:rPr>
        <w:t>Тверская</w:t>
      </w:r>
      <w:proofErr w:type="gramEnd"/>
      <w:r>
        <w:rPr>
          <w:szCs w:val="24"/>
        </w:rPr>
        <w:t xml:space="preserve"> обл. - ПО-6РЗ, ПО-6РЗМ, ПО-РЗФ, ПО-РЗП.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4. ООО «Завод моющих средств», г. Шебекино, </w:t>
      </w:r>
      <w:proofErr w:type="gramStart"/>
      <w:r>
        <w:rPr>
          <w:szCs w:val="24"/>
        </w:rPr>
        <w:t>Белгородская</w:t>
      </w:r>
      <w:proofErr w:type="gramEnd"/>
      <w:r>
        <w:rPr>
          <w:szCs w:val="24"/>
        </w:rPr>
        <w:t xml:space="preserve"> обл. - «Морпен», ТЭАС, ТЭАС-Н, ТЭАС-С.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5. ООО «Завод ТехноХимСинтез», г. Уфа - «Ялан», ПО-6ЦБТ, ПО-6ЦБФ, ПО-3БТ, ПО-6ЦБТ-М, ПО-6ЦБТ-Н.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6. ОАО «Ивхимпром», г. Иваново - ПО-6ТС, ПО-6ТФ, ПО-6ТФ-У, ПО-6ЦТ, ПО-6МТ, ПО-6ТС-В, ПО-6ТС-М, «Файрэкс».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7. ООО «Нефтегазсервис», г. Ростов-на-Дону - ПО-6РП.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8. ОАО «Новочеркасский завод синтетических продуктов», г. Новочеркасск, Ростовская обл. - ПО-3НП, ПО-6НП, ПО-6НП-М, ПО-6ВАС, ПО-6НПС.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9. ООО «Огонь и вода - Нижний Новгород», г. Нижний Новгород - «Нижегородский </w:t>
      </w:r>
      <w:r>
        <w:rPr>
          <w:szCs w:val="24"/>
          <w:lang w:val="en-US"/>
        </w:rPr>
        <w:t>FFFP</w:t>
      </w:r>
      <w:r>
        <w:rPr>
          <w:szCs w:val="24"/>
        </w:rPr>
        <w:t xml:space="preserve">», «Нижегородский </w:t>
      </w:r>
      <w:r>
        <w:rPr>
          <w:szCs w:val="24"/>
          <w:lang w:val="en-US"/>
        </w:rPr>
        <w:t>AFFF</w:t>
      </w:r>
      <w:r>
        <w:rPr>
          <w:szCs w:val="24"/>
        </w:rPr>
        <w:t xml:space="preserve">», «Урал Стандарт ННП», «Урал Стандарт», «Нижегородский </w:t>
      </w:r>
      <w:r>
        <w:rPr>
          <w:szCs w:val="24"/>
          <w:lang w:val="en-US"/>
        </w:rPr>
        <w:t>AFFF</w:t>
      </w:r>
      <w:r>
        <w:rPr>
          <w:szCs w:val="24"/>
        </w:rPr>
        <w:t xml:space="preserve"> универсальный».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10. ООО «Полифен-Трэйд», г. Санкт-Петербург - «Пенофор», «Пенофор-ОН».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11. ООО «Семьсот», г. Санкт-Петербург - ПО-6СП, ПО-6СПМ, ПО-6СПС.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12. ООО «Современные противопожарные технологии», г. Москва - «Шторм-М», «Шторм-Ф».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13. ООО «СПО Щит», г. Шебекино, </w:t>
      </w:r>
      <w:proofErr w:type="gramStart"/>
      <w:r>
        <w:rPr>
          <w:szCs w:val="24"/>
        </w:rPr>
        <w:t>Белгородская</w:t>
      </w:r>
      <w:proofErr w:type="gramEnd"/>
      <w:r>
        <w:rPr>
          <w:szCs w:val="24"/>
        </w:rPr>
        <w:t xml:space="preserve"> обл. - ПО-6ЦФ, ПО-6ЦФП, ПО-6ЦНТ, ПО-6ОСТ (марки 1 и 2), ПО-6ЦВУ, ПО-3ОСТ, ПО-6ЦСТ, ПО-4ЦМТ («Морпен»).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14. ОАО «Черномортранснефть», г. Новороссийск - «Мультипена».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15. ЗАО «Эгида ПТВ», г. Москва - «Меркуловский», «Полярный», П</w:t>
      </w:r>
      <w:r>
        <w:rPr>
          <w:szCs w:val="24"/>
          <w:lang w:val="en-US"/>
        </w:rPr>
        <w:t>O</w:t>
      </w:r>
      <w:r>
        <w:rPr>
          <w:szCs w:val="24"/>
        </w:rPr>
        <w:t>-6</w:t>
      </w:r>
      <w:r>
        <w:rPr>
          <w:szCs w:val="24"/>
          <w:lang w:val="en-US"/>
        </w:rPr>
        <w:t>A</w:t>
      </w:r>
      <w:r>
        <w:rPr>
          <w:szCs w:val="24"/>
        </w:rPr>
        <w:t>3</w:t>
      </w:r>
      <w:r>
        <w:rPr>
          <w:szCs w:val="24"/>
          <w:lang w:val="en-US"/>
        </w:rPr>
        <w:t>F</w:t>
      </w:r>
      <w:r>
        <w:rPr>
          <w:szCs w:val="24"/>
        </w:rPr>
        <w:t>, ПО-НСВ.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16. ЗАО «Экохиммаш», г. Буй, </w:t>
      </w:r>
      <w:proofErr w:type="gramStart"/>
      <w:r>
        <w:rPr>
          <w:szCs w:val="24"/>
        </w:rPr>
        <w:t>Костромская</w:t>
      </w:r>
      <w:proofErr w:type="gramEnd"/>
      <w:r>
        <w:rPr>
          <w:szCs w:val="24"/>
        </w:rPr>
        <w:t xml:space="preserve"> обл. - «Ликвид».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17. ООО «ХимСинтез», г. Новочеркасск - ПО-6У, ПО-6УМ.</w:t>
      </w:r>
    </w:p>
    <w:p w:rsidR="00FF3B2D" w:rsidRDefault="00B60BD4">
      <w:pPr>
        <w:shd w:val="clear" w:color="auto" w:fill="FFFFFF"/>
        <w:ind w:firstLine="284"/>
        <w:jc w:val="both"/>
        <w:rPr>
          <w:szCs w:val="18"/>
        </w:rPr>
      </w:pPr>
      <w:r>
        <w:rPr>
          <w:szCs w:val="18"/>
        </w:rPr>
        <w:t>_________________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 xml:space="preserve">* Производство пенообразователей в основном сосредоточено на заводах, имеющих технологию переработки сырья и изготовления поверхностно-активных веществ: ОАО «Ивхимпром» (г. Иваново), ОАО «НЗСП» (г. Новочеркасск) </w:t>
      </w:r>
      <w:proofErr w:type="gramStart"/>
      <w:r>
        <w:rPr>
          <w:sz w:val="18"/>
          <w:szCs w:val="18"/>
        </w:rPr>
        <w:t>и ООО</w:t>
      </w:r>
      <w:proofErr w:type="gramEnd"/>
      <w:r>
        <w:rPr>
          <w:sz w:val="18"/>
          <w:szCs w:val="18"/>
        </w:rPr>
        <w:t xml:space="preserve"> «ЗМС» (г. Шебекино).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24"/>
        </w:rPr>
      </w:pPr>
      <w:r>
        <w:rPr>
          <w:sz w:val="18"/>
          <w:szCs w:val="18"/>
        </w:rPr>
        <w:t>Указанные в перечне российские предприятия изготавливают и предлагают свою продукцию (пенообразователи) на территории России.</w:t>
      </w: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В России также применяются для тушения пенообразователи зарубежных фирм, имеющие сертификаты пожарной безопасности: 1. </w:t>
      </w:r>
      <w:r>
        <w:rPr>
          <w:sz w:val="18"/>
          <w:szCs w:val="18"/>
          <w:lang w:val="en-US"/>
        </w:rPr>
        <w:t xml:space="preserve">Dr. STHAMER HAMBURG (Deutschland). 2. Dafo Fomtec AB P.O. (Sweden) 3. ANSUL INCORPORATED (USA). 4. SOLBERG SKANDINAVIAN (NORWAY). 5. SABO FOAM S.R.L. (Italy). </w:t>
      </w:r>
      <w:proofErr w:type="gramStart"/>
      <w:r>
        <w:rPr>
          <w:sz w:val="18"/>
          <w:szCs w:val="18"/>
          <w:lang w:val="en-US"/>
        </w:rPr>
        <w:t>6. KIDDE UNISER SAS (France).</w:t>
      </w:r>
      <w:proofErr w:type="gramEnd"/>
      <w:r>
        <w:rPr>
          <w:sz w:val="18"/>
          <w:szCs w:val="18"/>
          <w:lang w:val="en-US"/>
        </w:rPr>
        <w:t xml:space="preserve"> 7. SOCIETE EAU ET FEU (France) </w:t>
      </w:r>
      <w:r>
        <w:rPr>
          <w:sz w:val="18"/>
          <w:szCs w:val="18"/>
        </w:rPr>
        <w:t>и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др</w:t>
      </w:r>
      <w:r>
        <w:rPr>
          <w:sz w:val="18"/>
          <w:szCs w:val="18"/>
          <w:lang w:val="en-US"/>
        </w:rPr>
        <w:t>.</w:t>
      </w:r>
    </w:p>
    <w:p w:rsidR="00ED0BD0" w:rsidRDefault="00ED0BD0">
      <w:pPr>
        <w:widowControl/>
        <w:autoSpaceDE/>
        <w:autoSpaceDN/>
        <w:adjustRightInd/>
        <w:rPr>
          <w:i/>
          <w:iCs/>
          <w:szCs w:val="22"/>
        </w:rPr>
      </w:pPr>
      <w:r>
        <w:rPr>
          <w:i/>
          <w:iCs/>
          <w:szCs w:val="22"/>
        </w:rPr>
        <w:br w:type="page"/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 xml:space="preserve">ПРИЛОЖЕНИЕ </w:t>
      </w:r>
      <w:proofErr w:type="gramStart"/>
      <w:r>
        <w:rPr>
          <w:i/>
          <w:iCs/>
          <w:szCs w:val="22"/>
        </w:rPr>
        <w:t>В</w:t>
      </w:r>
      <w:proofErr w:type="gramEnd"/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t>(обязательное)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МОДЕЛЬ ЖЕСТКОЙ ВОДЫ [3]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Для создания модели жесткой воды используются материалы, представленные в таблице.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7"/>
        <w:gridCol w:w="1518"/>
        <w:gridCol w:w="2106"/>
      </w:tblGrid>
      <w:tr w:rsidR="00FF3B2D"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Компонент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14"/>
              </w:rPr>
            </w:pPr>
            <w:r>
              <w:rPr>
                <w:szCs w:val="14"/>
              </w:rPr>
              <w:t>Химическая</w:t>
            </w:r>
          </w:p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формула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Содержание компонента, % (масс.)</w:t>
            </w:r>
          </w:p>
        </w:tc>
      </w:tr>
      <w:tr w:rsidR="00FF3B2D"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Вода дистиллированная по ГОСТ 6709-72 или вода питьевая с жесткостью не более 7 мг-экв·дм</w:t>
            </w:r>
            <w:r>
              <w:rPr>
                <w:szCs w:val="16"/>
                <w:vertAlign w:val="superscript"/>
              </w:rPr>
              <w:sym w:font="Symbol" w:char="F02D"/>
            </w:r>
            <w:r>
              <w:rPr>
                <w:szCs w:val="16"/>
                <w:vertAlign w:val="superscript"/>
              </w:rPr>
              <w:t>3</w:t>
            </w:r>
            <w:r>
              <w:rPr>
                <w:szCs w:val="16"/>
              </w:rPr>
              <w:t xml:space="preserve"> (7 °Ж по ГОСТ </w:t>
            </w:r>
            <w:proofErr w:type="gramStart"/>
            <w:r>
              <w:rPr>
                <w:szCs w:val="16"/>
              </w:rPr>
              <w:t>Р</w:t>
            </w:r>
            <w:proofErr w:type="gramEnd"/>
            <w:r>
              <w:rPr>
                <w:szCs w:val="16"/>
              </w:rPr>
              <w:t xml:space="preserve"> 52029-2003)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>Н</w:t>
            </w:r>
            <w:r>
              <w:rPr>
                <w:szCs w:val="18"/>
                <w:vertAlign w:val="subscript"/>
              </w:rPr>
              <w:t>2</w:t>
            </w:r>
            <w:r>
              <w:rPr>
                <w:szCs w:val="18"/>
              </w:rPr>
              <w:t>О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99,8794</w:t>
            </w:r>
          </w:p>
        </w:tc>
      </w:tr>
      <w:tr w:rsidR="00FF3B2D"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rFonts w:cs="Arial"/>
                <w:szCs w:val="16"/>
              </w:rPr>
              <w:t>Магний хлористый, 6-водный по ГОСТ 4209-77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4"/>
                <w:lang w:val="en-US"/>
              </w:rPr>
              <w:t>MgCl</w:t>
            </w:r>
            <w:r>
              <w:rPr>
                <w:rFonts w:cs="Arial"/>
                <w:szCs w:val="14"/>
                <w:vertAlign w:val="subscript"/>
              </w:rPr>
              <w:t>2</w:t>
            </w:r>
            <w:r>
              <w:rPr>
                <w:rFonts w:cs="Arial"/>
                <w:szCs w:val="14"/>
              </w:rPr>
              <w:t xml:space="preserve"> </w:t>
            </w:r>
            <w:r>
              <w:rPr>
                <w:rFonts w:cs="Arial"/>
                <w:szCs w:val="14"/>
                <w:lang w:val="en-US"/>
              </w:rPr>
              <w:t>·</w:t>
            </w:r>
            <w:r>
              <w:rPr>
                <w:rFonts w:cs="Arial"/>
                <w:szCs w:val="14"/>
              </w:rPr>
              <w:t xml:space="preserve"> 6Н</w:t>
            </w:r>
            <w:r>
              <w:rPr>
                <w:rFonts w:cs="Arial"/>
                <w:szCs w:val="14"/>
                <w:vertAlign w:val="subscript"/>
              </w:rPr>
              <w:t>2</w:t>
            </w:r>
            <w:r>
              <w:rPr>
                <w:rFonts w:cs="Arial"/>
                <w:szCs w:val="14"/>
              </w:rPr>
              <w:t>О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0,0381</w:t>
            </w:r>
          </w:p>
        </w:tc>
      </w:tr>
      <w:tr w:rsidR="00FF3B2D"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Кальций хлористый, 2-водный по ТУ 6-09-5077-87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  <w:lang w:val="en-US"/>
              </w:rPr>
              <w:t>CaCl</w:t>
            </w:r>
            <w:r>
              <w:rPr>
                <w:szCs w:val="14"/>
                <w:vertAlign w:val="subscript"/>
                <w:lang w:val="en-US"/>
              </w:rPr>
              <w:t>2</w:t>
            </w:r>
            <w:r>
              <w:rPr>
                <w:szCs w:val="14"/>
                <w:lang w:val="en-US"/>
              </w:rPr>
              <w:t xml:space="preserve"> ·</w:t>
            </w:r>
            <w:r>
              <w:rPr>
                <w:szCs w:val="14"/>
              </w:rPr>
              <w:t xml:space="preserve"> 2Н</w:t>
            </w:r>
            <w:r>
              <w:rPr>
                <w:szCs w:val="14"/>
                <w:vertAlign w:val="subscript"/>
              </w:rPr>
              <w:t>2</w:t>
            </w:r>
            <w:r>
              <w:rPr>
                <w:szCs w:val="14"/>
              </w:rPr>
              <w:t>О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0,0825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i/>
          <w:iCs/>
          <w:szCs w:val="22"/>
        </w:rPr>
        <w:sectPr w:rsidR="00FF3B2D">
          <w:pgSz w:w="11909" w:h="16834" w:code="9"/>
          <w:pgMar w:top="1440" w:right="1797" w:bottom="1440" w:left="1797" w:header="720" w:footer="720" w:gutter="0"/>
          <w:cols w:space="720"/>
          <w:noEndnote/>
        </w:sectPr>
      </w:pP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>ПРИЛОЖЕНИЕ Г</w:t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  <w:lang w:val="en-US"/>
        </w:rPr>
      </w:pPr>
      <w:r>
        <w:rPr>
          <w:i/>
          <w:iCs/>
          <w:szCs w:val="22"/>
        </w:rPr>
        <w:t>(обязательное)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  <w:lang w:val="en-US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4"/>
          <w:lang w:val="en-US"/>
        </w:rPr>
      </w:pPr>
      <w:r>
        <w:rPr>
          <w:b/>
          <w:bCs/>
          <w:szCs w:val="24"/>
        </w:rPr>
        <w:t>МОДЕЛЬ МОРСКОЙ ВОДЫ [2]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  <w:lang w:val="en-US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  <w:lang w:val="en-US"/>
        </w:rPr>
      </w:pPr>
      <w:r>
        <w:rPr>
          <w:szCs w:val="24"/>
        </w:rPr>
        <w:t>Для создания модели морской воды используются материалы, представленные в таблице.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0"/>
        <w:gridCol w:w="1292"/>
        <w:gridCol w:w="2059"/>
      </w:tblGrid>
      <w:tr w:rsidR="00FF3B2D">
        <w:tc>
          <w:tcPr>
            <w:tcW w:w="5020" w:type="dxa"/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Компонент</w:t>
            </w:r>
          </w:p>
        </w:tc>
        <w:tc>
          <w:tcPr>
            <w:tcW w:w="1292" w:type="dxa"/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Химическая формула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Содержание компонента, % (масс.)</w:t>
            </w:r>
          </w:p>
        </w:tc>
      </w:tr>
      <w:tr w:rsidR="00FF3B2D">
        <w:tc>
          <w:tcPr>
            <w:tcW w:w="5020" w:type="dxa"/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Вода дистиллированная по ГОСТ 6709-72 или вода питьевая с жесткостью не более 7 мг-экв·дм</w:t>
            </w:r>
            <w:r>
              <w:rPr>
                <w:szCs w:val="16"/>
                <w:vertAlign w:val="superscript"/>
              </w:rPr>
              <w:sym w:font="Symbol" w:char="F02D"/>
            </w:r>
            <w:r>
              <w:rPr>
                <w:szCs w:val="16"/>
                <w:vertAlign w:val="superscript"/>
              </w:rPr>
              <w:t xml:space="preserve">3 </w:t>
            </w:r>
            <w:r>
              <w:rPr>
                <w:szCs w:val="16"/>
              </w:rPr>
              <w:t xml:space="preserve">(7 °Ж по ГОСТ </w:t>
            </w:r>
            <w:proofErr w:type="gramStart"/>
            <w:r>
              <w:rPr>
                <w:szCs w:val="16"/>
              </w:rPr>
              <w:t>Р</w:t>
            </w:r>
            <w:proofErr w:type="gramEnd"/>
            <w:r>
              <w:rPr>
                <w:szCs w:val="16"/>
              </w:rPr>
              <w:t xml:space="preserve"> 52029-2003)</w:t>
            </w:r>
          </w:p>
        </w:tc>
        <w:tc>
          <w:tcPr>
            <w:tcW w:w="1292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8"/>
              </w:rPr>
              <w:t>Н</w:t>
            </w:r>
            <w:r>
              <w:rPr>
                <w:szCs w:val="18"/>
                <w:vertAlign w:val="subscript"/>
                <w:lang w:val="en-US"/>
              </w:rPr>
              <w:t>2</w:t>
            </w:r>
            <w:r>
              <w:rPr>
                <w:szCs w:val="18"/>
              </w:rPr>
              <w:t>О</w:t>
            </w:r>
          </w:p>
        </w:tc>
        <w:tc>
          <w:tcPr>
            <w:tcW w:w="2059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95,84</w:t>
            </w:r>
          </w:p>
        </w:tc>
      </w:tr>
      <w:tr w:rsidR="00FF3B2D">
        <w:tc>
          <w:tcPr>
            <w:tcW w:w="5020" w:type="dxa"/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Магний хлористый, 6-водный по ГОСТ 4209-77</w:t>
            </w:r>
          </w:p>
        </w:tc>
        <w:tc>
          <w:tcPr>
            <w:tcW w:w="1292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4"/>
                <w:lang w:val="en-US"/>
              </w:rPr>
              <w:t>MgCl</w:t>
            </w:r>
            <w:r>
              <w:rPr>
                <w:rFonts w:cs="Arial"/>
                <w:szCs w:val="14"/>
                <w:vertAlign w:val="subscript"/>
              </w:rPr>
              <w:t>2</w:t>
            </w:r>
            <w:r>
              <w:rPr>
                <w:rFonts w:cs="Arial"/>
                <w:szCs w:val="14"/>
              </w:rPr>
              <w:t xml:space="preserve"> </w:t>
            </w:r>
            <w:r>
              <w:rPr>
                <w:rFonts w:cs="Arial"/>
                <w:szCs w:val="14"/>
                <w:lang w:val="en-US"/>
              </w:rPr>
              <w:t>·</w:t>
            </w:r>
            <w:r>
              <w:rPr>
                <w:rFonts w:cs="Arial"/>
                <w:szCs w:val="14"/>
              </w:rPr>
              <w:t xml:space="preserve"> 6Н</w:t>
            </w:r>
            <w:r>
              <w:rPr>
                <w:rFonts w:cs="Arial"/>
                <w:szCs w:val="14"/>
                <w:vertAlign w:val="subscript"/>
              </w:rPr>
              <w:t>2</w:t>
            </w:r>
            <w:r>
              <w:rPr>
                <w:rFonts w:cs="Arial"/>
                <w:szCs w:val="14"/>
              </w:rPr>
              <w:t>О</w:t>
            </w:r>
          </w:p>
        </w:tc>
        <w:tc>
          <w:tcPr>
            <w:tcW w:w="2059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1,10</w:t>
            </w:r>
          </w:p>
        </w:tc>
      </w:tr>
      <w:tr w:rsidR="00FF3B2D">
        <w:tc>
          <w:tcPr>
            <w:tcW w:w="5020" w:type="dxa"/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Кальций хлористый, 2-водный по ТУ 6-09-5077-87</w:t>
            </w:r>
          </w:p>
        </w:tc>
        <w:tc>
          <w:tcPr>
            <w:tcW w:w="1292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  <w:lang w:val="en-US"/>
              </w:rPr>
              <w:t>Ca</w:t>
            </w:r>
            <w:r>
              <w:rPr>
                <w:szCs w:val="14"/>
              </w:rPr>
              <w:t>С</w:t>
            </w:r>
            <w:r>
              <w:rPr>
                <w:szCs w:val="14"/>
                <w:lang w:val="en-US"/>
              </w:rPr>
              <w:t>l</w:t>
            </w:r>
            <w:r>
              <w:rPr>
                <w:szCs w:val="14"/>
              </w:rPr>
              <w:t xml:space="preserve"> </w:t>
            </w:r>
            <w:r>
              <w:rPr>
                <w:szCs w:val="14"/>
                <w:lang w:val="en-US"/>
              </w:rPr>
              <w:t>·</w:t>
            </w:r>
            <w:r>
              <w:rPr>
                <w:szCs w:val="14"/>
              </w:rPr>
              <w:t xml:space="preserve"> 2Н</w:t>
            </w:r>
            <w:r>
              <w:rPr>
                <w:szCs w:val="14"/>
                <w:vertAlign w:val="subscript"/>
              </w:rPr>
              <w:t>2</w:t>
            </w:r>
            <w:r>
              <w:rPr>
                <w:szCs w:val="14"/>
              </w:rPr>
              <w:t>О</w:t>
            </w:r>
          </w:p>
        </w:tc>
        <w:tc>
          <w:tcPr>
            <w:tcW w:w="2059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0,16</w:t>
            </w:r>
          </w:p>
        </w:tc>
      </w:tr>
      <w:tr w:rsidR="00FF3B2D">
        <w:tc>
          <w:tcPr>
            <w:tcW w:w="5020" w:type="dxa"/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Натрий сернокислый, безводный по ГОСТ 4166-76</w:t>
            </w:r>
          </w:p>
        </w:tc>
        <w:tc>
          <w:tcPr>
            <w:tcW w:w="1292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4"/>
                <w:lang w:val="en-US"/>
              </w:rPr>
              <w:t>Na</w:t>
            </w:r>
            <w:r>
              <w:rPr>
                <w:rFonts w:cs="Arial"/>
                <w:szCs w:val="14"/>
                <w:vertAlign w:val="subscript"/>
              </w:rPr>
              <w:t>2</w:t>
            </w:r>
            <w:r>
              <w:rPr>
                <w:rFonts w:cs="Arial"/>
                <w:szCs w:val="14"/>
                <w:lang w:val="en-US"/>
              </w:rPr>
              <w:t>SO</w:t>
            </w:r>
            <w:r>
              <w:rPr>
                <w:rFonts w:cs="Arial"/>
                <w:szCs w:val="14"/>
                <w:vertAlign w:val="subscript"/>
              </w:rPr>
              <w:t>4</w:t>
            </w:r>
          </w:p>
        </w:tc>
        <w:tc>
          <w:tcPr>
            <w:tcW w:w="2059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0,40</w:t>
            </w:r>
          </w:p>
        </w:tc>
      </w:tr>
      <w:tr w:rsidR="00FF3B2D">
        <w:tc>
          <w:tcPr>
            <w:tcW w:w="5020" w:type="dxa"/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Натрий хлористый по ГОСТ 4233-77</w:t>
            </w:r>
          </w:p>
        </w:tc>
        <w:tc>
          <w:tcPr>
            <w:tcW w:w="1292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  <w:lang w:val="en-US"/>
              </w:rPr>
              <w:t>NaCl</w:t>
            </w:r>
          </w:p>
        </w:tc>
        <w:tc>
          <w:tcPr>
            <w:tcW w:w="2059" w:type="dxa"/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2,50</w:t>
            </w:r>
          </w:p>
        </w:tc>
      </w:tr>
    </w:tbl>
    <w:p w:rsidR="00ED0BD0" w:rsidRDefault="00ED0BD0">
      <w:pPr>
        <w:shd w:val="clear" w:color="auto" w:fill="FFFFFF"/>
        <w:ind w:firstLine="284"/>
        <w:jc w:val="right"/>
        <w:rPr>
          <w:i/>
          <w:iCs/>
          <w:szCs w:val="22"/>
        </w:rPr>
      </w:pPr>
    </w:p>
    <w:p w:rsidR="00ED0BD0" w:rsidRDefault="00ED0BD0">
      <w:pPr>
        <w:widowControl/>
        <w:autoSpaceDE/>
        <w:autoSpaceDN/>
        <w:adjustRightInd/>
        <w:rPr>
          <w:i/>
          <w:iCs/>
          <w:szCs w:val="22"/>
        </w:rPr>
      </w:pPr>
      <w:r>
        <w:rPr>
          <w:i/>
          <w:iCs/>
          <w:szCs w:val="22"/>
        </w:rPr>
        <w:br w:type="page"/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>ПРИЛОЖЕНИЕ Д</w:t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t>(рекомендуемое)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НОРМЫ ПОДАЧИ ПЕНЫ ИЗ ПЕНООБРАЗОВАТЕЛЕЙ ПРИ ТУШЕНИИ НЕФТИ И НЕФТЕПРОДУКТОВ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right"/>
      </w:pPr>
      <w:r>
        <w:t>Таблица 1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Нормативные интенсивности подачи пены средней кратности для тушения нефти и нефтепродуктов в резервуарах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4"/>
        <w:gridCol w:w="1676"/>
        <w:gridCol w:w="1459"/>
        <w:gridCol w:w="1241"/>
        <w:gridCol w:w="1241"/>
      </w:tblGrid>
      <w:tr w:rsidR="00FF3B2D">
        <w:trPr>
          <w:cantSplit/>
        </w:trPr>
        <w:tc>
          <w:tcPr>
            <w:tcW w:w="2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Вид нефтепродукта</w:t>
            </w:r>
          </w:p>
        </w:tc>
        <w:tc>
          <w:tcPr>
            <w:tcW w:w="56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Нормативная интенсивность подачи раствора пенообразователя, дм</w:t>
            </w:r>
            <w:r>
              <w:rPr>
                <w:szCs w:val="16"/>
                <w:vertAlign w:val="superscript"/>
              </w:rPr>
              <w:t>3</w:t>
            </w:r>
            <w:r>
              <w:rPr>
                <w:szCs w:val="16"/>
              </w:rPr>
              <w:t>·м</w:t>
            </w:r>
            <w:r>
              <w:rPr>
                <w:szCs w:val="16"/>
                <w:vertAlign w:val="superscript"/>
              </w:rPr>
              <w:sym w:font="Symbol" w:char="F02D"/>
            </w:r>
            <w:r>
              <w:rPr>
                <w:szCs w:val="16"/>
                <w:vertAlign w:val="superscript"/>
              </w:rPr>
              <w:t>2</w:t>
            </w:r>
            <w:r>
              <w:rPr>
                <w:szCs w:val="16"/>
              </w:rPr>
              <w:t>·с</w:t>
            </w:r>
            <w:r>
              <w:rPr>
                <w:szCs w:val="16"/>
                <w:vertAlign w:val="superscript"/>
              </w:rPr>
              <w:sym w:font="Symbol" w:char="F02D"/>
            </w:r>
            <w:r>
              <w:rPr>
                <w:szCs w:val="16"/>
                <w:vertAlign w:val="superscript"/>
              </w:rPr>
              <w:t>1</w:t>
            </w:r>
          </w:p>
        </w:tc>
      </w:tr>
      <w:tr w:rsidR="00FF3B2D">
        <w:trPr>
          <w:cantSplit/>
        </w:trPr>
        <w:tc>
          <w:tcPr>
            <w:tcW w:w="27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both"/>
              <w:rPr>
                <w:szCs w:val="24"/>
              </w:rPr>
            </w:pPr>
          </w:p>
        </w:tc>
        <w:tc>
          <w:tcPr>
            <w:tcW w:w="1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Пенообразователи общего назначения</w:t>
            </w:r>
          </w:p>
        </w:tc>
        <w:tc>
          <w:tcPr>
            <w:tcW w:w="3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Пенообразователи целевого назначения</w:t>
            </w:r>
          </w:p>
        </w:tc>
      </w:tr>
      <w:tr w:rsidR="00FF3B2D">
        <w:trPr>
          <w:cantSplit/>
        </w:trPr>
        <w:tc>
          <w:tcPr>
            <w:tcW w:w="27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both"/>
              <w:rPr>
                <w:szCs w:val="24"/>
              </w:rPr>
            </w:pPr>
          </w:p>
        </w:tc>
        <w:tc>
          <w:tcPr>
            <w:tcW w:w="16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center"/>
              <w:rPr>
                <w:szCs w:val="24"/>
              </w:rPr>
            </w:pP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углеводородные</w:t>
            </w:r>
          </w:p>
        </w:tc>
        <w:tc>
          <w:tcPr>
            <w:tcW w:w="2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>фторсодержащие</w:t>
            </w:r>
          </w:p>
        </w:tc>
      </w:tr>
      <w:tr w:rsidR="00FF3B2D">
        <w:trPr>
          <w:cantSplit/>
        </w:trPr>
        <w:tc>
          <w:tcPr>
            <w:tcW w:w="2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both"/>
              <w:rPr>
                <w:szCs w:val="24"/>
              </w:rPr>
            </w:pPr>
          </w:p>
        </w:tc>
        <w:tc>
          <w:tcPr>
            <w:tcW w:w="1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center"/>
              <w:rPr>
                <w:szCs w:val="24"/>
              </w:rPr>
            </w:pPr>
          </w:p>
        </w:tc>
        <w:tc>
          <w:tcPr>
            <w:tcW w:w="1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FF3B2D">
            <w:pPr>
              <w:jc w:val="center"/>
              <w:rPr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6"/>
              </w:rPr>
              <w:t xml:space="preserve">тип </w:t>
            </w:r>
            <w:r>
              <w:rPr>
                <w:szCs w:val="16"/>
                <w:lang w:val="en-US"/>
              </w:rPr>
              <w:t>AFFF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 xml:space="preserve">тип </w:t>
            </w:r>
            <w:r>
              <w:rPr>
                <w:rFonts w:cs="Arial"/>
                <w:szCs w:val="16"/>
                <w:lang w:val="en-US"/>
              </w:rPr>
              <w:t>AR</w:t>
            </w:r>
          </w:p>
        </w:tc>
      </w:tr>
      <w:tr w:rsidR="00FF3B2D"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 xml:space="preserve">Нефть и нефтепродукты с </w:t>
            </w:r>
            <w:r>
              <w:rPr>
                <w:i/>
                <w:iCs/>
                <w:szCs w:val="16"/>
              </w:rPr>
              <w:t>Т</w:t>
            </w:r>
            <w:r>
              <w:rPr>
                <w:szCs w:val="16"/>
                <w:vertAlign w:val="subscript"/>
              </w:rPr>
              <w:t>всп</w:t>
            </w:r>
            <w:r>
              <w:rPr>
                <w:szCs w:val="16"/>
              </w:rPr>
              <w:t xml:space="preserve"> 28</w:t>
            </w:r>
            <w:proofErr w:type="gramStart"/>
            <w:r>
              <w:rPr>
                <w:szCs w:val="16"/>
              </w:rPr>
              <w:t xml:space="preserve"> °С</w:t>
            </w:r>
            <w:proofErr w:type="gramEnd"/>
            <w:r>
              <w:rPr>
                <w:szCs w:val="16"/>
              </w:rPr>
              <w:t xml:space="preserve"> и ниже и ГЖ, нагретые выше </w:t>
            </w:r>
            <w:r>
              <w:rPr>
                <w:i/>
                <w:iCs/>
                <w:szCs w:val="16"/>
              </w:rPr>
              <w:t>Т</w:t>
            </w:r>
            <w:r>
              <w:rPr>
                <w:szCs w:val="16"/>
                <w:vertAlign w:val="subscript"/>
              </w:rPr>
              <w:t>всп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0,07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0,05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0,05</w:t>
            </w:r>
          </w:p>
        </w:tc>
      </w:tr>
      <w:tr w:rsidR="00FF3B2D"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 xml:space="preserve">Нефть и нефтепродукты с </w:t>
            </w:r>
            <w:r>
              <w:rPr>
                <w:i/>
                <w:iCs/>
                <w:szCs w:val="16"/>
              </w:rPr>
              <w:t>Т</w:t>
            </w:r>
            <w:r>
              <w:rPr>
                <w:szCs w:val="16"/>
                <w:vertAlign w:val="subscript"/>
              </w:rPr>
              <w:t>всп</w:t>
            </w:r>
            <w:r>
              <w:rPr>
                <w:szCs w:val="16"/>
              </w:rPr>
              <w:t xml:space="preserve"> более28</w:t>
            </w:r>
            <w:proofErr w:type="gramStart"/>
            <w:r>
              <w:rPr>
                <w:szCs w:val="16"/>
              </w:rPr>
              <w:t xml:space="preserve"> °С</w:t>
            </w:r>
            <w:proofErr w:type="gramEnd"/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0,05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0,04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0,04</w:t>
            </w:r>
          </w:p>
        </w:tc>
      </w:tr>
      <w:tr w:rsidR="00FF3B2D"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Стабильный газовый конденсат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-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0,15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Примечание. Для нефти с примесями газового конденсата, а также для нефтепродуктов, полученных из газового конденсата, необходимо определение нормативной интенсивности в соответствии с действующими методиками.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right"/>
      </w:pPr>
      <w:r>
        <w:t>Таблица 2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Нормативная интенсивность подачи пены низкой кратности для тушения нефти и нефтепродуктов в резервуарах* [42]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3"/>
        <w:gridCol w:w="1370"/>
        <w:gridCol w:w="696"/>
        <w:gridCol w:w="1370"/>
        <w:gridCol w:w="696"/>
        <w:gridCol w:w="1370"/>
        <w:gridCol w:w="696"/>
      </w:tblGrid>
      <w:tr w:rsidR="00FF3B2D">
        <w:trPr>
          <w:cantSplit/>
        </w:trPr>
        <w:tc>
          <w:tcPr>
            <w:tcW w:w="21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Вид нефтепродукта</w:t>
            </w:r>
          </w:p>
        </w:tc>
        <w:tc>
          <w:tcPr>
            <w:tcW w:w="62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 xml:space="preserve">Нормативная интенсивность подачи раствора пенообразователя, </w:t>
            </w:r>
            <w:r>
              <w:rPr>
                <w:szCs w:val="16"/>
              </w:rPr>
              <w:t>дм</w:t>
            </w:r>
            <w:r>
              <w:rPr>
                <w:szCs w:val="16"/>
                <w:vertAlign w:val="superscript"/>
              </w:rPr>
              <w:t>3</w:t>
            </w:r>
            <w:r>
              <w:rPr>
                <w:szCs w:val="16"/>
              </w:rPr>
              <w:t>·м</w:t>
            </w:r>
            <w:r>
              <w:rPr>
                <w:szCs w:val="16"/>
                <w:vertAlign w:val="superscript"/>
              </w:rPr>
              <w:sym w:font="Symbol" w:char="F02D"/>
            </w:r>
            <w:r>
              <w:rPr>
                <w:szCs w:val="16"/>
                <w:vertAlign w:val="superscript"/>
              </w:rPr>
              <w:t>2</w:t>
            </w:r>
            <w:r>
              <w:rPr>
                <w:szCs w:val="16"/>
              </w:rPr>
              <w:t>·с</w:t>
            </w:r>
            <w:r>
              <w:rPr>
                <w:szCs w:val="16"/>
                <w:vertAlign w:val="superscript"/>
              </w:rPr>
              <w:sym w:font="Symbol" w:char="F02D"/>
            </w:r>
            <w:r>
              <w:rPr>
                <w:szCs w:val="16"/>
                <w:vertAlign w:val="superscript"/>
              </w:rPr>
              <w:t>1</w:t>
            </w:r>
          </w:p>
        </w:tc>
      </w:tr>
      <w:tr w:rsidR="00FF3B2D">
        <w:trPr>
          <w:cantSplit/>
        </w:trPr>
        <w:tc>
          <w:tcPr>
            <w:tcW w:w="217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 xml:space="preserve">Фторсодержащие пенообразователи типа </w:t>
            </w:r>
            <w:r>
              <w:rPr>
                <w:szCs w:val="14"/>
                <w:lang w:val="en-US"/>
              </w:rPr>
              <w:t>AFFF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 xml:space="preserve">Фторсодержащие пенообразователи типа </w:t>
            </w:r>
            <w:r>
              <w:rPr>
                <w:szCs w:val="14"/>
                <w:lang w:val="en-US"/>
              </w:rPr>
              <w:t>AR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 xml:space="preserve">Фторпротеиновые пенообразователи типа </w:t>
            </w:r>
            <w:r>
              <w:rPr>
                <w:szCs w:val="14"/>
                <w:lang w:val="en-US"/>
              </w:rPr>
              <w:t>FFFP</w:t>
            </w:r>
          </w:p>
        </w:tc>
      </w:tr>
      <w:tr w:rsidR="00FF3B2D">
        <w:trPr>
          <w:cantSplit/>
        </w:trPr>
        <w:tc>
          <w:tcPr>
            <w:tcW w:w="21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FF3B2D">
            <w:pPr>
              <w:jc w:val="center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на поверхность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в слой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на</w:t>
            </w:r>
            <w:r>
              <w:rPr>
                <w:szCs w:val="14"/>
                <w:lang w:val="en-US"/>
              </w:rPr>
              <w:t xml:space="preserve"> </w:t>
            </w:r>
            <w:r>
              <w:rPr>
                <w:szCs w:val="14"/>
              </w:rPr>
              <w:t>поверхность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в слой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на</w:t>
            </w:r>
            <w:r>
              <w:rPr>
                <w:szCs w:val="14"/>
                <w:lang w:val="en-US"/>
              </w:rPr>
              <w:t xml:space="preserve"> </w:t>
            </w:r>
            <w:r>
              <w:rPr>
                <w:szCs w:val="14"/>
              </w:rPr>
              <w:t>поверхность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14"/>
              </w:rPr>
              <w:t>в слой</w:t>
            </w:r>
          </w:p>
        </w:tc>
      </w:tr>
      <w:tr w:rsidR="00FF3B2D"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 xml:space="preserve">Нефть и нефтепродукты с </w:t>
            </w:r>
            <w:r>
              <w:rPr>
                <w:i/>
                <w:iCs/>
                <w:szCs w:val="16"/>
              </w:rPr>
              <w:t>Т</w:t>
            </w:r>
            <w:r>
              <w:rPr>
                <w:szCs w:val="16"/>
                <w:vertAlign w:val="subscript"/>
              </w:rPr>
              <w:t>всп</w:t>
            </w:r>
            <w:r>
              <w:rPr>
                <w:szCs w:val="16"/>
              </w:rPr>
              <w:t xml:space="preserve"> 28</w:t>
            </w:r>
            <w:proofErr w:type="gramStart"/>
            <w:r>
              <w:rPr>
                <w:szCs w:val="16"/>
              </w:rPr>
              <w:t xml:space="preserve"> °С</w:t>
            </w:r>
            <w:proofErr w:type="gramEnd"/>
            <w:r>
              <w:rPr>
                <w:szCs w:val="16"/>
              </w:rPr>
              <w:t xml:space="preserve"> и ниже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0,07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8"/>
              </w:rPr>
              <w:t>0,1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0,07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0,07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</w:tr>
      <w:tr w:rsidR="00FF3B2D"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 xml:space="preserve">Нефть и нефтепродукты с </w:t>
            </w:r>
            <w:r>
              <w:rPr>
                <w:i/>
                <w:iCs/>
                <w:szCs w:val="16"/>
              </w:rPr>
              <w:t>Т</w:t>
            </w:r>
            <w:r>
              <w:rPr>
                <w:szCs w:val="16"/>
                <w:vertAlign w:val="subscript"/>
              </w:rPr>
              <w:t>всп</w:t>
            </w:r>
            <w:r>
              <w:rPr>
                <w:szCs w:val="16"/>
              </w:rPr>
              <w:t xml:space="preserve"> более 28</w:t>
            </w:r>
            <w:proofErr w:type="gramStart"/>
            <w:r>
              <w:rPr>
                <w:szCs w:val="16"/>
              </w:rPr>
              <w:t xml:space="preserve"> °С</w:t>
            </w:r>
            <w:proofErr w:type="gramEnd"/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0,05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0,05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0,05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0,08</w:t>
            </w:r>
          </w:p>
        </w:tc>
      </w:tr>
      <w:tr w:rsidR="00FF3B2D"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szCs w:val="16"/>
              </w:rPr>
              <w:t>Стабильный газовый конденсат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0,14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0,10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B2D" w:rsidRDefault="00B60BD4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rFonts w:cs="Arial"/>
                <w:szCs w:val="16"/>
              </w:rPr>
              <w:t>0,14</w:t>
            </w:r>
          </w:p>
        </w:tc>
      </w:tr>
    </w:tbl>
    <w:p w:rsidR="00FF3B2D" w:rsidRDefault="00FF3B2D">
      <w:pPr>
        <w:shd w:val="clear" w:color="auto" w:fill="FFFFFF"/>
        <w:ind w:firstLine="284"/>
        <w:jc w:val="both"/>
        <w:rPr>
          <w:szCs w:val="18"/>
        </w:rPr>
      </w:pPr>
    </w:p>
    <w:p w:rsidR="00FF3B2D" w:rsidRDefault="00B60BD4">
      <w:pPr>
        <w:shd w:val="clear" w:color="auto" w:fill="FFFFFF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* Вновь сертифицируемые пенообразователи для подачи в слой горючего должны соответствовать НПБ 203-98 [28].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Следует отметить, что интенсивность подачи пены средней кратности из синтетических фторсодержащих пленкообразующих пенообразователей целевого назначения типа </w:t>
      </w:r>
      <w:r>
        <w:rPr>
          <w:szCs w:val="24"/>
          <w:lang w:val="en-US"/>
        </w:rPr>
        <w:t>AR</w:t>
      </w:r>
      <w:r>
        <w:rPr>
          <w:szCs w:val="24"/>
        </w:rPr>
        <w:t xml:space="preserve"> при тушении ряда полярных растворителей и спиртов достигает значений 0,1-0,2 </w:t>
      </w:r>
      <w:r>
        <w:rPr>
          <w:szCs w:val="16"/>
        </w:rPr>
        <w:t>дм</w:t>
      </w:r>
      <w:r>
        <w:rPr>
          <w:szCs w:val="16"/>
          <w:vertAlign w:val="superscript"/>
        </w:rPr>
        <w:t>3</w:t>
      </w:r>
      <w:r>
        <w:rPr>
          <w:szCs w:val="16"/>
        </w:rPr>
        <w:t>·м</w:t>
      </w:r>
      <w:r>
        <w:rPr>
          <w:szCs w:val="16"/>
          <w:vertAlign w:val="superscript"/>
        </w:rPr>
        <w:sym w:font="Symbol" w:char="F02D"/>
      </w:r>
      <w:r>
        <w:rPr>
          <w:szCs w:val="16"/>
          <w:vertAlign w:val="superscript"/>
        </w:rPr>
        <w:t>2</w:t>
      </w:r>
      <w:r>
        <w:rPr>
          <w:szCs w:val="16"/>
        </w:rPr>
        <w:t>·с</w:t>
      </w:r>
      <w:r>
        <w:rPr>
          <w:szCs w:val="16"/>
          <w:vertAlign w:val="superscript"/>
        </w:rPr>
        <w:sym w:font="Symbol" w:char="F02D"/>
      </w:r>
      <w:r>
        <w:rPr>
          <w:szCs w:val="16"/>
          <w:vertAlign w:val="superscript"/>
        </w:rPr>
        <w:t>1</w:t>
      </w:r>
      <w:r>
        <w:rPr>
          <w:szCs w:val="24"/>
        </w:rPr>
        <w:t>.</w:t>
      </w:r>
    </w:p>
    <w:p w:rsidR="00ED0BD0" w:rsidRDefault="00ED0BD0">
      <w:pPr>
        <w:widowControl/>
        <w:autoSpaceDE/>
        <w:autoSpaceDN/>
        <w:adjustRightInd/>
        <w:rPr>
          <w:i/>
          <w:iCs/>
          <w:szCs w:val="22"/>
        </w:rPr>
      </w:pPr>
      <w:r>
        <w:rPr>
          <w:i/>
          <w:iCs/>
          <w:szCs w:val="22"/>
        </w:rPr>
        <w:br w:type="page"/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>ПРИЛОЖЕНИЕ Е</w:t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t>(рекомендуемое)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2"/>
        </w:rPr>
      </w:pPr>
      <w:r>
        <w:rPr>
          <w:b/>
          <w:bCs/>
          <w:szCs w:val="22"/>
        </w:rPr>
        <w:t>ОПРЕДЕЛЕНИЕ УСТОЙЧИВОСТИ ПЕНЫ НА ПОВЕРХНОСТИ АЦЕТОНА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2"/>
        </w:rPr>
      </w:pPr>
      <w:r>
        <w:rPr>
          <w:b/>
          <w:bCs/>
          <w:szCs w:val="22"/>
        </w:rPr>
        <w:t>1. Применяемые приборы и реактивы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Весы лабораторные среднего класса точности по ГОСТ 24104-2001 с наибольшим пределом взвешивания 200 г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Стакан стеклянный по ГОСТ 25336-2001, тип ВН-400, вместимость 400 мл (диаметр 70 мм, высота 130 мм)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Цилиндр мерный по ГОСТ 1770-74, 2-й класс точности, вместимость 100 мл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Палочка стеклянная (диаметр 4-8 мм, длина 150-250 мм)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Прибор «Размельчитель тканей» (РТ-1) (миксер по НПБ 203-98)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Секундомер механический по ТУ 25-1819.0021-90, класс 2, предел измерения 60 мин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Ацетон по ГОСТ 2603-79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b/>
          <w:bCs/>
          <w:szCs w:val="24"/>
        </w:rPr>
      </w:pPr>
      <w:r>
        <w:rPr>
          <w:b/>
          <w:bCs/>
          <w:szCs w:val="24"/>
        </w:rPr>
        <w:t>2. Проведение испытаний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Цилиндром отмеряют 100 см</w:t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 ацетона и помещают его в стакан, который устанавливают на весах. На поверхность ацетона наносят низкократную пену (полученную с помощью электромеханического устройства - миксера) в количестве (8 ± 0,5) г. При появлении в процессе </w:t>
      </w:r>
      <w:proofErr w:type="gramStart"/>
      <w:r>
        <w:rPr>
          <w:szCs w:val="24"/>
        </w:rPr>
        <w:t>разрушения пены открытых участков поверхности ацетона</w:t>
      </w:r>
      <w:proofErr w:type="gramEnd"/>
      <w:r>
        <w:rPr>
          <w:szCs w:val="24"/>
        </w:rPr>
        <w:t xml:space="preserve"> или отслаивании пены в результате образования крупных воздушных пузырей следует стеклянной палочкой разравнивать пену по всей поверхности ацетона, не касаясь разделительной гелеобразной пленки.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Секундомером фиксируют время с момента нанесения на ацетон первой порции пены до появления открытых участков поверхности ацетона или разделительной пленки. Это время определяет устойчивость пены на поверхности ацетона. Испытание проводят 3 раза. За окончательный результат принимается среднее арифметическое.</w:t>
      </w:r>
    </w:p>
    <w:p w:rsidR="00ED0BD0" w:rsidRDefault="00ED0BD0">
      <w:pPr>
        <w:widowControl/>
        <w:autoSpaceDE/>
        <w:autoSpaceDN/>
        <w:adjustRightInd/>
        <w:rPr>
          <w:i/>
          <w:iCs/>
          <w:szCs w:val="22"/>
        </w:rPr>
      </w:pPr>
      <w:r>
        <w:rPr>
          <w:i/>
          <w:iCs/>
          <w:szCs w:val="22"/>
        </w:rPr>
        <w:br w:type="page"/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lastRenderedPageBreak/>
        <w:t>ПРИЛОЖЕНИЕ Ж</w:t>
      </w:r>
    </w:p>
    <w:p w:rsidR="00FF3B2D" w:rsidRDefault="00B60BD4">
      <w:pPr>
        <w:shd w:val="clear" w:color="auto" w:fill="FFFFFF"/>
        <w:ind w:firstLine="284"/>
        <w:jc w:val="right"/>
        <w:rPr>
          <w:i/>
          <w:iCs/>
          <w:szCs w:val="22"/>
        </w:rPr>
      </w:pPr>
      <w:r>
        <w:rPr>
          <w:i/>
          <w:iCs/>
          <w:szCs w:val="22"/>
        </w:rPr>
        <w:t>(рекомендуемое)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ОПРЕДЕЛЕНИЕ </w:t>
      </w:r>
      <w:proofErr w:type="gramStart"/>
      <w:r>
        <w:rPr>
          <w:b/>
          <w:bCs/>
          <w:szCs w:val="24"/>
        </w:rPr>
        <w:t>ЭКСПРЕСС-МЕТОДОМ</w:t>
      </w:r>
      <w:proofErr w:type="gramEnd"/>
      <w:r>
        <w:rPr>
          <w:b/>
          <w:bCs/>
          <w:szCs w:val="24"/>
        </w:rPr>
        <w:t xml:space="preserve"> ВРЕМЕНИ ЗАЩИТНОГО ДЕЙСТВИЯ (ВЗД) ВОДНОЙ ПЛЕНКИ НА ПОВЕРХНОСТИ УГЛЕВОДОРОДНОЙ ЖИДКОСТИ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Экспресс-метод предназначен для предварительной оценки способности пленки, нанесенной на поверхность горючей жидкости, противостоять проникновению через нее паров, образованных при испарении горючей жидкости под пленкой во времени.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b/>
          <w:bCs/>
          <w:szCs w:val="24"/>
        </w:rPr>
        <w:t>1. Применяемые приборы и реактивы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Секундомер механический по ТУ 25-1819.0021-90, класс 2, предел измерения 60 мин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Цилиндр мерный по ГОСТ 1770-74, 2-й класс точности, вместимость 100 мл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Противень (внутренний диаметр (100 ± 1) мм, высота (35 ± 1) мм)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Распылитель бытовой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Горелка (внутренний диаметр (3 ± 1) мм)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Н-гептан по ГОСТ 25828-82 (бензин марки А-80 по ГОСТ 2084-77)</w:t>
      </w:r>
    </w:p>
    <w:p w:rsidR="00FF3B2D" w:rsidRDefault="00FF3B2D">
      <w:pPr>
        <w:shd w:val="clear" w:color="auto" w:fill="FFFFFF"/>
        <w:ind w:firstLine="284"/>
        <w:jc w:val="both"/>
        <w:rPr>
          <w:szCs w:val="24"/>
        </w:rPr>
      </w:pP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b/>
          <w:bCs/>
          <w:szCs w:val="24"/>
        </w:rPr>
        <w:t>2. Проведение испытаний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Для определения ВЗД с помощью распылителя на поверхность горючей жидкости, налитой в количестве 25 см</w:t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 в противень диаметром (100 ± 1) мм и высотой (35 ± 1) мм, наносят 4 см</w:t>
      </w:r>
      <w:r>
        <w:rPr>
          <w:szCs w:val="24"/>
          <w:vertAlign w:val="superscript"/>
        </w:rPr>
        <w:t>3</w:t>
      </w:r>
      <w:r>
        <w:rPr>
          <w:szCs w:val="24"/>
        </w:rPr>
        <w:t xml:space="preserve"> раствора пленкообразующего состава.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 xml:space="preserve">Через 90 </w:t>
      </w:r>
      <w:proofErr w:type="gramStart"/>
      <w:r>
        <w:rPr>
          <w:szCs w:val="24"/>
        </w:rPr>
        <w:t>с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к</w:t>
      </w:r>
      <w:proofErr w:type="gramEnd"/>
      <w:r>
        <w:rPr>
          <w:szCs w:val="24"/>
        </w:rPr>
        <w:t xml:space="preserve"> поверхности горючей жидкости в центр емкости на высоте (35 ± 1) мм от дна подносят факел пламени от зажженной горелки, диаметр горелки ~ (3 ± 1) мм. Высота факела ~ (5 ± 1) мм.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Секундомером измеряют время с момента поднесения факела до воспламенения горючей жидкости, которое соответствует времени существования защитной пленки на поверхности горючей жидкости.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Испытания следует проводить при температуре окружающего воздуха (18 ± 1) °С.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Повторное использование горючей жидкости недопустимо.</w:t>
      </w:r>
    </w:p>
    <w:p w:rsidR="00FF3B2D" w:rsidRDefault="00B60BD4">
      <w:pPr>
        <w:shd w:val="clear" w:color="auto" w:fill="FFFFFF"/>
        <w:ind w:firstLine="284"/>
        <w:jc w:val="both"/>
        <w:rPr>
          <w:szCs w:val="24"/>
        </w:rPr>
      </w:pPr>
      <w:r>
        <w:rPr>
          <w:szCs w:val="24"/>
        </w:rPr>
        <w:t>За окончательный результат следует принять среднее арифметическое трех определений времени воспламенения.</w:t>
      </w:r>
    </w:p>
    <w:sectPr w:rsidR="00FF3B2D"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E8"/>
    <w:rsid w:val="00B60BD4"/>
    <w:rsid w:val="00CC5F7D"/>
    <w:rsid w:val="00ED0BD0"/>
    <w:rsid w:val="00F16EE8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F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F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penoobrazovatel-xarakteristiki-penoobrazovatelya-svojstvo-pozharnoj-pe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10566</Words>
  <Characters>60232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применения пенообразователей для тушения пожаров. Рекомендации</vt:lpstr>
    </vt:vector>
  </TitlesOfParts>
  <LinksUpToDate>false</LinksUpToDate>
  <CharactersWithSpaces>70657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2019-05-12T09:27:00Z</dcterms:created>
  <dcterms:modified xsi:type="dcterms:W3CDTF">2019-06-13T20:51:00Z</dcterms:modified>
</cp:coreProperties>
</file>