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6DF" w:rsidRDefault="00117592">
      <w:pPr>
        <w:ind w:firstLine="284"/>
        <w:jc w:val="center"/>
      </w:pPr>
      <w:r>
        <w:t xml:space="preserve">ГОСУДАРСТВЕННОЕ ПРЕДПРИЯТИЕ </w:t>
      </w:r>
      <w:r w:rsidR="00CD766F">
        <w:t>«</w:t>
      </w:r>
      <w:r>
        <w:t>РОСНЕФТЬ</w:t>
      </w:r>
      <w:r w:rsidR="00CD766F">
        <w:t>»</w:t>
      </w:r>
    </w:p>
    <w:p w:rsidR="00DA56DF" w:rsidRDefault="00DA56DF">
      <w:pPr>
        <w:ind w:firstLine="284"/>
        <w:jc w:val="both"/>
        <w:rPr>
          <w:szCs w:val="24"/>
        </w:rPr>
      </w:pPr>
    </w:p>
    <w:p w:rsidR="00DA56DF" w:rsidRDefault="00117592">
      <w:pPr>
        <w:ind w:firstLine="284"/>
        <w:jc w:val="center"/>
      </w:pPr>
      <w:r>
        <w:t>ГЛАВНОЕ УПРАВЛЕНИЕ ПО ГОСУДАРСТВЕННЫМ ПОСТАВКАМ И КОММЕРЧЕСКОЙ ДЕЯТЕЛЬНОСТИ</w:t>
      </w:r>
    </w:p>
    <w:p w:rsidR="00DA56DF" w:rsidRDefault="00DA56DF">
      <w:pPr>
        <w:ind w:firstLine="284"/>
        <w:jc w:val="both"/>
        <w:rPr>
          <w:szCs w:val="24"/>
        </w:rPr>
      </w:pPr>
    </w:p>
    <w:tbl>
      <w:tblPr>
        <w:tblW w:w="1597" w:type="pct"/>
        <w:jc w:val="right"/>
        <w:tblInd w:w="617" w:type="dxa"/>
        <w:tblLayout w:type="fixed"/>
        <w:tblCellMar>
          <w:left w:w="28" w:type="dxa"/>
          <w:right w:w="28" w:type="dxa"/>
        </w:tblCellMar>
        <w:tblLook w:val="0000" w:firstRow="0" w:lastRow="0" w:firstColumn="0" w:lastColumn="0" w:noHBand="0" w:noVBand="0"/>
      </w:tblPr>
      <w:tblGrid>
        <w:gridCol w:w="2674"/>
      </w:tblGrid>
      <w:tr w:rsidR="00DA56DF">
        <w:trPr>
          <w:jc w:val="right"/>
        </w:trPr>
        <w:tc>
          <w:tcPr>
            <w:tcW w:w="2673" w:type="dxa"/>
            <w:shd w:val="clear" w:color="auto" w:fill="FFFFFF"/>
          </w:tcPr>
          <w:p w:rsidR="00DA56DF" w:rsidRDefault="00117592">
            <w:pPr>
              <w:jc w:val="center"/>
              <w:rPr>
                <w:szCs w:val="24"/>
              </w:rPr>
            </w:pPr>
            <w:r>
              <w:rPr>
                <w:szCs w:val="24"/>
              </w:rPr>
              <w:t>УТВЕРЖДЕНО</w:t>
            </w:r>
          </w:p>
        </w:tc>
      </w:tr>
      <w:tr w:rsidR="00DA56DF">
        <w:trPr>
          <w:jc w:val="right"/>
        </w:trPr>
        <w:tc>
          <w:tcPr>
            <w:tcW w:w="2673" w:type="dxa"/>
            <w:shd w:val="clear" w:color="auto" w:fill="FFFFFF"/>
          </w:tcPr>
          <w:p w:rsidR="00DA56DF" w:rsidRDefault="00117592">
            <w:pPr>
              <w:jc w:val="both"/>
              <w:rPr>
                <w:szCs w:val="24"/>
              </w:rPr>
            </w:pPr>
            <w:r>
              <w:rPr>
                <w:szCs w:val="34"/>
              </w:rPr>
              <w:t xml:space="preserve">Главным управлением по </w:t>
            </w:r>
            <w:proofErr w:type="spellStart"/>
            <w:r>
              <w:rPr>
                <w:szCs w:val="34"/>
              </w:rPr>
              <w:t>госпоставкам</w:t>
            </w:r>
            <w:proofErr w:type="spellEnd"/>
            <w:r>
              <w:rPr>
                <w:szCs w:val="34"/>
              </w:rPr>
              <w:t xml:space="preserve"> и коммерческой деятельности</w:t>
            </w:r>
          </w:p>
        </w:tc>
      </w:tr>
      <w:tr w:rsidR="00DA56DF">
        <w:trPr>
          <w:jc w:val="right"/>
        </w:trPr>
        <w:tc>
          <w:tcPr>
            <w:tcW w:w="2673" w:type="dxa"/>
            <w:shd w:val="clear" w:color="auto" w:fill="FFFFFF"/>
          </w:tcPr>
          <w:p w:rsidR="00DA56DF" w:rsidRDefault="00CD766F">
            <w:pPr>
              <w:jc w:val="both"/>
              <w:rPr>
                <w:szCs w:val="24"/>
              </w:rPr>
            </w:pPr>
            <w:r>
              <w:rPr>
                <w:szCs w:val="34"/>
              </w:rPr>
              <w:t>«</w:t>
            </w:r>
            <w:r w:rsidR="00117592">
              <w:rPr>
                <w:szCs w:val="34"/>
              </w:rPr>
              <w:t>28</w:t>
            </w:r>
            <w:r>
              <w:rPr>
                <w:szCs w:val="34"/>
              </w:rPr>
              <w:t>»</w:t>
            </w:r>
            <w:r w:rsidR="00117592">
              <w:rPr>
                <w:szCs w:val="34"/>
              </w:rPr>
              <w:t xml:space="preserve"> декабря 1993 г.</w:t>
            </w:r>
          </w:p>
        </w:tc>
      </w:tr>
    </w:tbl>
    <w:p w:rsidR="00DA56DF" w:rsidRDefault="00DA56DF">
      <w:pPr>
        <w:ind w:firstLine="284"/>
        <w:jc w:val="both"/>
      </w:pPr>
    </w:p>
    <w:p w:rsidR="00DA56DF" w:rsidRDefault="00DA56DF">
      <w:pPr>
        <w:ind w:firstLine="284"/>
        <w:jc w:val="both"/>
      </w:pPr>
    </w:p>
    <w:p w:rsidR="00DA56DF" w:rsidRDefault="00117592" w:rsidP="008550AE">
      <w:pPr>
        <w:jc w:val="center"/>
        <w:rPr>
          <w:b/>
          <w:bCs/>
        </w:rPr>
      </w:pPr>
      <w:r w:rsidRPr="00CD766F">
        <w:rPr>
          <w:b/>
          <w:bCs/>
          <w:sz w:val="24"/>
        </w:rPr>
        <w:t>РЕКОМЕНДАЦИИ ПО ПРЕДОТВРАЩЕНИЮ ОПАСНОЙ ЭЛЕКТРИЗАЦИИ НЕФТЕПРОДУКТОВ ПРИ НАЛИВЕ В ВЕРТИКАЛЬНЫЕ И ГОРИЗОНТАЛЬНЫЕ РЕЗЕРВУАРЫ</w:t>
      </w:r>
    </w:p>
    <w:p w:rsidR="00DA56DF" w:rsidRDefault="00DA56DF">
      <w:pPr>
        <w:ind w:firstLine="284"/>
        <w:jc w:val="both"/>
        <w:rPr>
          <w:szCs w:val="24"/>
        </w:rPr>
      </w:pPr>
    </w:p>
    <w:p w:rsidR="00CD766F" w:rsidRDefault="00CD766F" w:rsidP="00CD766F">
      <w:pPr>
        <w:ind w:firstLine="284"/>
        <w:jc w:val="center"/>
        <w:rPr>
          <w:b/>
          <w:bCs/>
          <w:szCs w:val="28"/>
        </w:rPr>
      </w:pPr>
      <w:r>
        <w:rPr>
          <w:b/>
          <w:bCs/>
          <w:szCs w:val="28"/>
        </w:rPr>
        <w:t>СОДЕРЖАНИЕ</w:t>
      </w:r>
    </w:p>
    <w:p w:rsidR="00CD766F" w:rsidRDefault="00CD766F" w:rsidP="00CD766F">
      <w:pPr>
        <w:ind w:firstLine="284"/>
        <w:jc w:val="both"/>
        <w:rPr>
          <w:szCs w:val="24"/>
        </w:rPr>
      </w:pPr>
    </w:p>
    <w:p w:rsidR="00CD766F" w:rsidRDefault="00CD766F" w:rsidP="00CD766F">
      <w:pPr>
        <w:ind w:firstLine="284"/>
        <w:jc w:val="both"/>
        <w:rPr>
          <w:szCs w:val="24"/>
        </w:rPr>
      </w:pPr>
      <w:r>
        <w:rPr>
          <w:szCs w:val="28"/>
        </w:rPr>
        <w:t>1. ОБЩИЕ ПОЛОЖЕНИЯ</w:t>
      </w:r>
      <w:r>
        <w:rPr>
          <w:szCs w:val="28"/>
        </w:rPr>
        <w:t>.</w:t>
      </w:r>
    </w:p>
    <w:p w:rsidR="00CD766F" w:rsidRDefault="00CD766F" w:rsidP="00CD766F">
      <w:pPr>
        <w:ind w:firstLine="284"/>
        <w:jc w:val="both"/>
        <w:rPr>
          <w:szCs w:val="24"/>
        </w:rPr>
      </w:pPr>
      <w:r>
        <w:rPr>
          <w:szCs w:val="28"/>
        </w:rPr>
        <w:t>2. ЭЛЕКТРИЗАЦИЯ НЕФТЕПРОДУКТОВ. ОПРЕДЕЛЕНИЕ ДОПУСТИМОЙ ПЛОТНОСТИ ЗАРЯДА И ДОПУСТИМОЙ СКОРОСТИ НЕФТЕПРОДУКТОВ ПРИ ЗАПОЛНЕНИИ РЕЗЕРВУАРОВ И ТРАНСПОРТНЫХ ЕМКОСТЕЙ</w:t>
      </w:r>
      <w:r>
        <w:rPr>
          <w:szCs w:val="28"/>
        </w:rPr>
        <w:t>.</w:t>
      </w:r>
    </w:p>
    <w:p w:rsidR="00CD766F" w:rsidRDefault="00CD766F" w:rsidP="00CD766F">
      <w:pPr>
        <w:ind w:firstLine="284"/>
        <w:jc w:val="both"/>
        <w:rPr>
          <w:szCs w:val="24"/>
        </w:rPr>
      </w:pPr>
      <w:r>
        <w:rPr>
          <w:szCs w:val="28"/>
        </w:rPr>
        <w:t xml:space="preserve">3. ТРЕБОВАНИЯ И УСТРОЙСТВА </w:t>
      </w:r>
      <w:proofErr w:type="gramStart"/>
      <w:r>
        <w:rPr>
          <w:szCs w:val="28"/>
        </w:rPr>
        <w:t>ОБЕСПЕЧЕНИЯ БЕЗОПАСНОСТИ ПОВЫШЕНИЯ СКОРОСТЕЙ НЕФТЕПРОДУКТОВ</w:t>
      </w:r>
      <w:proofErr w:type="gramEnd"/>
      <w:r>
        <w:rPr>
          <w:szCs w:val="28"/>
        </w:rPr>
        <w:t xml:space="preserve"> В ТРУБОПРОВОДАХ И ИСТЕЧЕНИЯ ИХ В РЕЗЕРВУАРЫ И ЦИСТЕРНЫ</w:t>
      </w:r>
      <w:r>
        <w:rPr>
          <w:szCs w:val="28"/>
        </w:rPr>
        <w:t>.</w:t>
      </w:r>
    </w:p>
    <w:p w:rsidR="00CD766F" w:rsidRDefault="00CD766F" w:rsidP="00CD766F">
      <w:pPr>
        <w:ind w:firstLine="284"/>
        <w:jc w:val="both"/>
        <w:rPr>
          <w:szCs w:val="24"/>
        </w:rPr>
      </w:pPr>
      <w:r>
        <w:rPr>
          <w:szCs w:val="28"/>
        </w:rPr>
        <w:t>ПРИЛОЖЕНИЕ 1. Список использованных источников</w:t>
      </w:r>
      <w:r>
        <w:rPr>
          <w:szCs w:val="28"/>
        </w:rPr>
        <w:t>.</w:t>
      </w:r>
    </w:p>
    <w:p w:rsidR="00CD766F" w:rsidRDefault="00CD766F" w:rsidP="00CD766F">
      <w:pPr>
        <w:ind w:firstLine="284"/>
        <w:jc w:val="both"/>
        <w:rPr>
          <w:szCs w:val="24"/>
        </w:rPr>
      </w:pPr>
      <w:r>
        <w:rPr>
          <w:szCs w:val="28"/>
        </w:rPr>
        <w:t>ПРИЛОЖЕНИЕ 2. Минимальная энергия зажигания паровоздушных смесей нефтепродуктов при различных температурах</w:t>
      </w:r>
      <w:r>
        <w:rPr>
          <w:szCs w:val="28"/>
        </w:rPr>
        <w:t>.</w:t>
      </w:r>
    </w:p>
    <w:p w:rsidR="00CD766F" w:rsidRDefault="00CD766F" w:rsidP="00CD766F">
      <w:pPr>
        <w:ind w:firstLine="284"/>
        <w:jc w:val="both"/>
        <w:rPr>
          <w:szCs w:val="24"/>
        </w:rPr>
      </w:pPr>
      <w:r>
        <w:rPr>
          <w:szCs w:val="28"/>
        </w:rPr>
        <w:t>ПРИЛОЖЕНИЕ 3. Удельное объемное электрическое сопротивление и относительная диэлектрическая проницаемость нефтепродуктов</w:t>
      </w:r>
      <w:r>
        <w:rPr>
          <w:szCs w:val="28"/>
        </w:rPr>
        <w:t>.</w:t>
      </w:r>
    </w:p>
    <w:p w:rsidR="00CD766F" w:rsidRDefault="00CD766F" w:rsidP="00CD766F">
      <w:pPr>
        <w:ind w:firstLine="284"/>
        <w:jc w:val="both"/>
        <w:rPr>
          <w:szCs w:val="24"/>
        </w:rPr>
      </w:pPr>
      <w:r>
        <w:rPr>
          <w:szCs w:val="28"/>
        </w:rPr>
        <w:t>ПРИЛОЖЕНИЕ 4. Поверхностное натяжение светлых нефтепродуктов</w:t>
      </w:r>
      <w:r>
        <w:rPr>
          <w:szCs w:val="28"/>
        </w:rPr>
        <w:t>.</w:t>
      </w:r>
    </w:p>
    <w:p w:rsidR="00CD766F" w:rsidRDefault="00CD766F" w:rsidP="00CD766F">
      <w:pPr>
        <w:ind w:firstLine="284"/>
        <w:jc w:val="both"/>
        <w:rPr>
          <w:szCs w:val="24"/>
        </w:rPr>
      </w:pPr>
      <w:r>
        <w:rPr>
          <w:szCs w:val="28"/>
        </w:rPr>
        <w:t>ПРИЛОЖЕНИЕ 5. Номограмма для определения плотности заряда</w:t>
      </w:r>
      <w:r>
        <w:rPr>
          <w:szCs w:val="28"/>
        </w:rPr>
        <w:t>.</w:t>
      </w:r>
    </w:p>
    <w:p w:rsidR="00CD766F" w:rsidRPr="00CD766F" w:rsidRDefault="00CD766F" w:rsidP="00CD766F">
      <w:pPr>
        <w:ind w:firstLine="284"/>
        <w:jc w:val="both"/>
        <w:rPr>
          <w:szCs w:val="24"/>
        </w:rPr>
      </w:pPr>
      <w:r>
        <w:rPr>
          <w:szCs w:val="28"/>
        </w:rPr>
        <w:t>ПРИЛОЖЕНИЕ 6. Номограммы для определения допустимых скоростей налива горизонтальных резервуаров, автомобильных цистерн вместимостью от 4 до 8 м</w:t>
      </w:r>
      <w:r>
        <w:rPr>
          <w:szCs w:val="28"/>
          <w:vertAlign w:val="superscript"/>
        </w:rPr>
        <w:t>3</w:t>
      </w:r>
      <w:r>
        <w:rPr>
          <w:szCs w:val="28"/>
        </w:rPr>
        <w:t>, железнодорожных цистерн вместимостью от 25 до 90 м</w:t>
      </w:r>
      <w:r>
        <w:rPr>
          <w:szCs w:val="28"/>
          <w:vertAlign w:val="superscript"/>
        </w:rPr>
        <w:t>3</w:t>
      </w:r>
      <w:r>
        <w:rPr>
          <w:szCs w:val="28"/>
        </w:rPr>
        <w:t>.</w:t>
      </w:r>
    </w:p>
    <w:p w:rsidR="00DA56DF" w:rsidRDefault="00CD766F" w:rsidP="00CD766F">
      <w:pPr>
        <w:ind w:firstLine="284"/>
        <w:jc w:val="both"/>
        <w:rPr>
          <w:szCs w:val="24"/>
        </w:rPr>
      </w:pPr>
      <w:r>
        <w:rPr>
          <w:szCs w:val="28"/>
        </w:rPr>
        <w:t>ПРИЛОЖЕНИЕ 7. Номограммы для определения допустимой скорости нефтепродукта при заполнении боковым способом налива резервуаров и транспортных емкостей нижним способом налива</w:t>
      </w:r>
      <w:r>
        <w:rPr>
          <w:szCs w:val="28"/>
        </w:rPr>
        <w:t>.</w:t>
      </w:r>
    </w:p>
    <w:p w:rsidR="00CD766F" w:rsidRDefault="00CD766F">
      <w:pPr>
        <w:ind w:firstLine="284"/>
        <w:jc w:val="center"/>
        <w:rPr>
          <w:b/>
          <w:bCs/>
        </w:rPr>
      </w:pPr>
    </w:p>
    <w:p w:rsidR="00DA56DF" w:rsidRDefault="00117592">
      <w:pPr>
        <w:ind w:firstLine="284"/>
        <w:jc w:val="center"/>
        <w:rPr>
          <w:b/>
          <w:bCs/>
          <w:i/>
          <w:iCs/>
        </w:rPr>
      </w:pPr>
      <w:r>
        <w:rPr>
          <w:b/>
          <w:bCs/>
        </w:rPr>
        <w:t>1. ОБЩИЕ ПОЛОЖЕНИЯ</w:t>
      </w:r>
    </w:p>
    <w:p w:rsidR="00DA56DF" w:rsidRDefault="00DA56DF">
      <w:pPr>
        <w:ind w:firstLine="284"/>
        <w:jc w:val="both"/>
        <w:rPr>
          <w:szCs w:val="24"/>
        </w:rPr>
      </w:pPr>
    </w:p>
    <w:p w:rsidR="00DA56DF" w:rsidRDefault="00117592">
      <w:pPr>
        <w:ind w:firstLine="284"/>
        <w:jc w:val="both"/>
        <w:rPr>
          <w:szCs w:val="24"/>
        </w:rPr>
      </w:pPr>
      <w:r>
        <w:t xml:space="preserve">1.1. Рекомендации по предотвращению опасной электризации нефтепродуктов при наливе в вертикальные и горизонтальные резервуары (далее - Рекомендации) распространяются на действующие и реконструируемые нефтебазы, их филиалы, наливные пункты и автозаправочные станции ГП </w:t>
      </w:r>
      <w:r w:rsidR="00CD766F">
        <w:t>«</w:t>
      </w:r>
      <w:r>
        <w:t>Роснефть</w:t>
      </w:r>
      <w:r w:rsidR="00CD766F">
        <w:t>»</w:t>
      </w:r>
      <w:r>
        <w:t>, а также перекачивающие станции магистральных нефтепродуктопроводов.</w:t>
      </w:r>
    </w:p>
    <w:p w:rsidR="00DA56DF" w:rsidRDefault="00117592">
      <w:pPr>
        <w:ind w:firstLine="284"/>
        <w:jc w:val="both"/>
        <w:rPr>
          <w:szCs w:val="24"/>
        </w:rPr>
      </w:pPr>
      <w:r>
        <w:t>1.2. Устанавливаемые Рекомендациями требования должны выполняться при осуществлении технологических операций на объектах нефтепродуктообеспечения: наливе резервуаров, автомобильных и железнодорожных цистерн.</w:t>
      </w:r>
    </w:p>
    <w:p w:rsidR="00DA56DF" w:rsidRDefault="00117592">
      <w:pPr>
        <w:ind w:firstLine="284"/>
        <w:jc w:val="both"/>
        <w:rPr>
          <w:szCs w:val="24"/>
        </w:rPr>
      </w:pPr>
      <w:r>
        <w:t>1.3. Рекомендации разработан</w:t>
      </w:r>
      <w:bookmarkStart w:id="0" w:name="_GoBack"/>
      <w:bookmarkEnd w:id="0"/>
      <w:r>
        <w:t xml:space="preserve">ы в соответствии с </w:t>
      </w:r>
      <w:r w:rsidRPr="008550AE">
        <w:t xml:space="preserve">требованиями </w:t>
      </w:r>
      <w:hyperlink r:id="rId7" w:history="1">
        <w:r w:rsidRPr="008550AE">
          <w:rPr>
            <w:rStyle w:val="a5"/>
            <w:color w:val="auto"/>
            <w:u w:val="none"/>
          </w:rPr>
          <w:t xml:space="preserve">ГОСТ </w:t>
        </w:r>
        <w:proofErr w:type="gramStart"/>
        <w:r w:rsidRPr="008550AE">
          <w:rPr>
            <w:rStyle w:val="a5"/>
            <w:color w:val="auto"/>
            <w:u w:val="none"/>
          </w:rPr>
          <w:t>Р</w:t>
        </w:r>
        <w:proofErr w:type="gramEnd"/>
        <w:r w:rsidRPr="008550AE">
          <w:rPr>
            <w:rStyle w:val="a5"/>
            <w:color w:val="auto"/>
            <w:u w:val="none"/>
          </w:rPr>
          <w:t xml:space="preserve"> 12.1.018</w:t>
        </w:r>
      </w:hyperlink>
      <w:r w:rsidRPr="008550AE">
        <w:t xml:space="preserve"> </w:t>
      </w:r>
      <w:r w:rsidR="00CD766F" w:rsidRPr="008550AE">
        <w:t>«</w:t>
      </w:r>
      <w:r w:rsidRPr="008550AE">
        <w:t>ССБТ</w:t>
      </w:r>
      <w:r>
        <w:t>. Пожаровзрывобезопасность статического электричества. Общие требования</w:t>
      </w:r>
      <w:r w:rsidR="00CD766F">
        <w:t>»</w:t>
      </w:r>
      <w:r>
        <w:t xml:space="preserve">, </w:t>
      </w:r>
      <w:r w:rsidR="00CD766F">
        <w:t>«</w:t>
      </w:r>
      <w:r>
        <w:t>Правилами защиты от статического электричества в производствах химической, нефтехимической и нефтеперерабатывающей промышленности</w:t>
      </w:r>
      <w:r w:rsidR="00CD766F">
        <w:t>»</w:t>
      </w:r>
      <w:r>
        <w:t xml:space="preserve">, </w:t>
      </w:r>
      <w:r w:rsidR="00CD766F">
        <w:t>«</w:t>
      </w:r>
      <w:r>
        <w:t>Правилами технической эксплуатации нефтебаз</w:t>
      </w:r>
      <w:r w:rsidR="00CD766F">
        <w:t>»</w:t>
      </w:r>
      <w:r>
        <w:t xml:space="preserve">, с учетом результатов работ, выполненных СКБ </w:t>
      </w:r>
      <w:r w:rsidR="00CD766F">
        <w:t>«</w:t>
      </w:r>
      <w:proofErr w:type="spellStart"/>
      <w:r>
        <w:t>Транснефтеавтоматика</w:t>
      </w:r>
      <w:proofErr w:type="spellEnd"/>
      <w:r w:rsidR="00CD766F">
        <w:t>»</w:t>
      </w:r>
      <w:r>
        <w:t xml:space="preserve"> и ВНИИТБХП.</w:t>
      </w:r>
    </w:p>
    <w:p w:rsidR="00DA56DF" w:rsidRDefault="00117592">
      <w:pPr>
        <w:ind w:firstLine="284"/>
        <w:jc w:val="both"/>
      </w:pPr>
      <w:r>
        <w:t>1.4. В Рекомендациях устанавливаются способы определения безопасных режимов заполнения резервуаров и транспортных емкостей, а также конструкции устройств, обеспечивающих безопасность, повышения скорости нефтепродуктов по трубопроводам и истечения их в резервуары и транспортные емкости.</w:t>
      </w:r>
    </w:p>
    <w:p w:rsidR="00DA56DF" w:rsidRDefault="00DA56DF">
      <w:pPr>
        <w:ind w:firstLine="284"/>
        <w:jc w:val="both"/>
        <w:rPr>
          <w:szCs w:val="24"/>
        </w:rPr>
      </w:pPr>
    </w:p>
    <w:p w:rsidR="00DA56DF" w:rsidRDefault="00117592">
      <w:pPr>
        <w:ind w:firstLine="284"/>
        <w:jc w:val="center"/>
        <w:rPr>
          <w:b/>
          <w:bCs/>
        </w:rPr>
      </w:pPr>
      <w:r>
        <w:rPr>
          <w:b/>
          <w:bCs/>
        </w:rPr>
        <w:t xml:space="preserve">2. ЭЛЕКТРИЗАЦИЯ НЕФТЕПРОДУКТОВ. ОПРЕДЕЛЕНИЕ ДОПУСТИМОЙ </w:t>
      </w:r>
      <w:r>
        <w:rPr>
          <w:b/>
          <w:bCs/>
        </w:rPr>
        <w:lastRenderedPageBreak/>
        <w:t>ПЛОТНОСТИ ЗАРЯДА И ДОПУСТИМОЙ СКОРОСТИ НЕФТЕПРОДУКТОВ ПРИ ЗАПОЛНЕНИИ РЕЗЕРВУАРОВ И ТРАНСПОРТНЫХ ЕМКОСТЕЙ</w:t>
      </w:r>
    </w:p>
    <w:p w:rsidR="00DA56DF" w:rsidRDefault="00DA56DF">
      <w:pPr>
        <w:ind w:firstLine="284"/>
        <w:jc w:val="both"/>
        <w:rPr>
          <w:szCs w:val="24"/>
        </w:rPr>
      </w:pPr>
    </w:p>
    <w:p w:rsidR="00DA56DF" w:rsidRDefault="00117592">
      <w:pPr>
        <w:ind w:firstLine="284"/>
        <w:jc w:val="both"/>
        <w:rPr>
          <w:szCs w:val="24"/>
        </w:rPr>
      </w:pPr>
      <w:r>
        <w:t>2.1. Электризация или накопление зарядов статического электричества возникает вследствие движения нефтепродуктов по технологическим трубопроводам, а также при сливе-наливе резервуаров, транспортных емкостей и в других случаях.</w:t>
      </w:r>
    </w:p>
    <w:p w:rsidR="00DA56DF" w:rsidRDefault="00117592">
      <w:pPr>
        <w:ind w:firstLine="284"/>
        <w:jc w:val="both"/>
        <w:rPr>
          <w:szCs w:val="24"/>
        </w:rPr>
      </w:pPr>
      <w:r>
        <w:t>2.2. Интенсивность электризации прямо пропорциональна скорости нефтепродукта при движении по трубопроводам или истечении в емкости.</w:t>
      </w:r>
    </w:p>
    <w:p w:rsidR="00DA56DF" w:rsidRDefault="00117592">
      <w:pPr>
        <w:ind w:firstLine="284"/>
        <w:jc w:val="both"/>
        <w:rPr>
          <w:szCs w:val="24"/>
        </w:rPr>
      </w:pPr>
      <w:r>
        <w:t>Для нефтепродуктов с температурой вспышки, ниже +61</w:t>
      </w:r>
      <w:proofErr w:type="gramStart"/>
      <w:r>
        <w:t xml:space="preserve"> °С</w:t>
      </w:r>
      <w:proofErr w:type="gramEnd"/>
      <w:r>
        <w:t xml:space="preserve"> допустимая скорость истечения в резервуары и цистерны устанавливается для каждого нефтепродукта, исходя из необходимости ограничивать платность заряда в поверхностном слое нефтепродукта.</w:t>
      </w:r>
    </w:p>
    <w:p w:rsidR="00DA56DF" w:rsidRDefault="00117592">
      <w:pPr>
        <w:ind w:firstLine="284"/>
        <w:jc w:val="both"/>
        <w:rPr>
          <w:szCs w:val="24"/>
        </w:rPr>
      </w:pPr>
      <w:r>
        <w:t>2.3. Допустимая скорость движения нефтепродукта по трубопроводам и подачи в резервуары или транспортные емкости определяется расчетным способом, используя допустимые значения плотности зарядов и минимальной энергии зажигания, или определяется по номограммам.</w:t>
      </w:r>
    </w:p>
    <w:p w:rsidR="00DA56DF" w:rsidRDefault="00117592">
      <w:pPr>
        <w:ind w:firstLine="284"/>
        <w:jc w:val="both"/>
        <w:rPr>
          <w:szCs w:val="24"/>
        </w:rPr>
      </w:pPr>
      <w:r>
        <w:t>2.4. При боковом наливе нефтепродуктов в резервуары, а также их нижнем наливе в транспортные емкости плотность зарядов в поверхностном слое можно считать равной плотности зарядов в трубопроводе</w:t>
      </w:r>
      <w:proofErr w:type="gramStart"/>
      <w:r>
        <w:t xml:space="preserve"> .</w:t>
      </w:r>
      <w:proofErr w:type="gramEnd"/>
    </w:p>
    <w:p w:rsidR="00DA56DF" w:rsidRDefault="00117592">
      <w:pPr>
        <w:ind w:firstLine="284"/>
        <w:jc w:val="both"/>
        <w:rPr>
          <w:szCs w:val="24"/>
        </w:rPr>
      </w:pPr>
      <w:r>
        <w:t>Для исключения искрообразования в этих случаях налива нефтепродуктов должно выполняться условие:</w:t>
      </w:r>
    </w:p>
    <w:p w:rsidR="00DA56DF" w:rsidRDefault="00117592">
      <w:pPr>
        <w:ind w:firstLine="284"/>
        <w:jc w:val="right"/>
        <w:rPr>
          <w:szCs w:val="24"/>
        </w:rPr>
      </w:pPr>
      <w:proofErr w:type="gramStart"/>
      <w:r>
        <w:rPr>
          <w:i/>
          <w:iCs/>
          <w:szCs w:val="38"/>
          <w:lang w:val="en-US"/>
        </w:rPr>
        <w:t>q</w:t>
      </w:r>
      <w:r>
        <w:rPr>
          <w:szCs w:val="38"/>
          <w:vertAlign w:val="subscript"/>
        </w:rPr>
        <w:t>т</w:t>
      </w:r>
      <w:proofErr w:type="gramEnd"/>
      <w:r>
        <w:rPr>
          <w:szCs w:val="38"/>
        </w:rPr>
        <w:t xml:space="preserve"> </w:t>
      </w:r>
      <w:r>
        <w:rPr>
          <w:szCs w:val="38"/>
        </w:rPr>
        <w:sym w:font="Symbol" w:char="F0A3"/>
      </w:r>
      <w:r>
        <w:rPr>
          <w:szCs w:val="38"/>
        </w:rPr>
        <w:t xml:space="preserve"> </w:t>
      </w:r>
      <w:r>
        <w:rPr>
          <w:i/>
          <w:iCs/>
          <w:szCs w:val="38"/>
          <w:lang w:val="en-US"/>
        </w:rPr>
        <w:t>q</w:t>
      </w:r>
      <w:proofErr w:type="spellStart"/>
      <w:r>
        <w:rPr>
          <w:szCs w:val="38"/>
          <w:vertAlign w:val="subscript"/>
        </w:rPr>
        <w:t>п.доп</w:t>
      </w:r>
      <w:proofErr w:type="spellEnd"/>
      <w:r>
        <w:rPr>
          <w:szCs w:val="38"/>
        </w:rPr>
        <w:t>,                                                                         (1)</w:t>
      </w:r>
    </w:p>
    <w:p w:rsidR="00DA56DF" w:rsidRDefault="00117592">
      <w:pPr>
        <w:jc w:val="both"/>
        <w:rPr>
          <w:szCs w:val="24"/>
        </w:rPr>
      </w:pPr>
      <w:r>
        <w:t xml:space="preserve">где </w:t>
      </w:r>
      <w:proofErr w:type="gramStart"/>
      <w:r>
        <w:rPr>
          <w:i/>
          <w:iCs/>
          <w:lang w:val="en-US"/>
        </w:rPr>
        <w:t>q</w:t>
      </w:r>
      <w:proofErr w:type="gramEnd"/>
      <w:r>
        <w:rPr>
          <w:vertAlign w:val="subscript"/>
        </w:rPr>
        <w:t>т</w:t>
      </w:r>
      <w:r>
        <w:t xml:space="preserve"> - плотность зарядов нефтепродукта в трубопроводе, Кл/м</w:t>
      </w:r>
      <w:r>
        <w:rPr>
          <w:vertAlign w:val="superscript"/>
        </w:rPr>
        <w:t>3</w:t>
      </w:r>
      <w:r>
        <w:t>;</w:t>
      </w:r>
    </w:p>
    <w:p w:rsidR="00DA56DF" w:rsidRDefault="00117592">
      <w:pPr>
        <w:ind w:firstLine="284"/>
        <w:jc w:val="both"/>
        <w:rPr>
          <w:szCs w:val="24"/>
        </w:rPr>
      </w:pPr>
      <w:proofErr w:type="gramStart"/>
      <w:r>
        <w:rPr>
          <w:i/>
          <w:iCs/>
          <w:lang w:val="en-US"/>
        </w:rPr>
        <w:t>q</w:t>
      </w:r>
      <w:proofErr w:type="spellStart"/>
      <w:r>
        <w:rPr>
          <w:vertAlign w:val="subscript"/>
        </w:rPr>
        <w:t>п.доп</w:t>
      </w:r>
      <w:proofErr w:type="spellEnd"/>
      <w:r>
        <w:t xml:space="preserve"> - предельно допустимое значение плотности зарядов в нефтепродукте, Кл/м</w:t>
      </w:r>
      <w:r>
        <w:rPr>
          <w:vertAlign w:val="superscript"/>
        </w:rPr>
        <w:t>3</w:t>
      </w:r>
      <w:r>
        <w:t>.</w:t>
      </w:r>
      <w:proofErr w:type="gramEnd"/>
    </w:p>
    <w:p w:rsidR="00DA56DF" w:rsidRDefault="00117592">
      <w:pPr>
        <w:ind w:firstLine="284"/>
        <w:jc w:val="both"/>
        <w:rPr>
          <w:szCs w:val="24"/>
        </w:rPr>
      </w:pPr>
      <w:r>
        <w:t>2.5. Предельно допустимое значение плотности зарядов определяется по формуле:</w:t>
      </w:r>
    </w:p>
    <w:p w:rsidR="00DA56DF" w:rsidRDefault="008550AE">
      <w:pPr>
        <w:ind w:firstLine="284"/>
        <w:jc w:val="right"/>
        <w:rPr>
          <w:szCs w:val="24"/>
        </w:rPr>
      </w:pPr>
      <w:r>
        <w:rPr>
          <w:position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0pt;height:26.5pt">
            <v:imagedata r:id="rId8" o:title=""/>
          </v:shape>
        </w:pict>
      </w:r>
      <w:r w:rsidR="00117592">
        <w:t>,                                                   (2)</w:t>
      </w:r>
    </w:p>
    <w:p w:rsidR="00DA56DF" w:rsidRDefault="00117592">
      <w:pPr>
        <w:jc w:val="both"/>
      </w:pPr>
      <w:r>
        <w:t xml:space="preserve">где </w:t>
      </w:r>
      <w:proofErr w:type="spellStart"/>
      <w:r>
        <w:rPr>
          <w:i/>
          <w:iCs/>
          <w:lang w:val="en-US"/>
        </w:rPr>
        <w:t>W</w:t>
      </w:r>
      <w:r>
        <w:rPr>
          <w:vertAlign w:val="subscript"/>
          <w:lang w:val="en-US"/>
        </w:rPr>
        <w:t>min</w:t>
      </w:r>
      <w:proofErr w:type="spellEnd"/>
      <w:r>
        <w:t xml:space="preserve"> - минимальная энергия зажигания среды над поверхностью нефтепродукта, </w:t>
      </w:r>
      <w:proofErr w:type="gramStart"/>
      <w:r>
        <w:t>Дж</w:t>
      </w:r>
      <w:proofErr w:type="gramEnd"/>
      <w:r>
        <w:t>;</w:t>
      </w:r>
    </w:p>
    <w:p w:rsidR="00DA56DF" w:rsidRDefault="00117592">
      <w:pPr>
        <w:ind w:firstLine="284"/>
        <w:jc w:val="both"/>
        <w:rPr>
          <w:szCs w:val="24"/>
        </w:rPr>
      </w:pPr>
      <w:r>
        <w:sym w:font="Symbol" w:char="F06A"/>
      </w:r>
      <w:r>
        <w:t xml:space="preserve"> - безразмерный коэффициент;</w:t>
      </w:r>
    </w:p>
    <w:p w:rsidR="00DA56DF" w:rsidRDefault="008550AE">
      <w:pPr>
        <w:ind w:firstLine="284"/>
        <w:jc w:val="center"/>
        <w:rPr>
          <w:i/>
          <w:iCs/>
        </w:rPr>
      </w:pPr>
      <w:r>
        <w:rPr>
          <w:i/>
          <w:iCs/>
          <w:position w:val="-22"/>
        </w:rPr>
        <w:pict>
          <v:shape id="_x0000_i1027" type="#_x0000_t75" style="width:87pt;height:30pt">
            <v:imagedata r:id="rId9" o:title=""/>
          </v:shape>
        </w:pict>
      </w:r>
      <w:r w:rsidR="00117592">
        <w:t>;</w:t>
      </w:r>
    </w:p>
    <w:p w:rsidR="00DA56DF" w:rsidRDefault="00117592">
      <w:pPr>
        <w:ind w:firstLine="284"/>
        <w:jc w:val="both"/>
      </w:pPr>
      <w:r>
        <w:sym w:font="Symbol" w:char="F065"/>
      </w:r>
      <w:r>
        <w:t xml:space="preserve"> - относительная диэлектрическая проницаемость нефтепродукта;</w:t>
      </w:r>
    </w:p>
    <w:p w:rsidR="00DA56DF" w:rsidRDefault="00117592">
      <w:pPr>
        <w:ind w:firstLine="284"/>
        <w:jc w:val="both"/>
      </w:pPr>
      <w:r>
        <w:rPr>
          <w:i/>
          <w:iCs/>
          <w:lang w:val="en-US"/>
        </w:rPr>
        <w:t>f</w:t>
      </w:r>
      <w:r>
        <w:t xml:space="preserve"> - </w:t>
      </w:r>
      <w:proofErr w:type="gramStart"/>
      <w:r>
        <w:t>поверхностное</w:t>
      </w:r>
      <w:proofErr w:type="gramEnd"/>
      <w:r>
        <w:t xml:space="preserve"> натяжение нефтепродукта, кг/с</w:t>
      </w:r>
      <w:r>
        <w:rPr>
          <w:vertAlign w:val="superscript"/>
        </w:rPr>
        <w:t>2</w:t>
      </w:r>
      <w:r>
        <w:t>;</w:t>
      </w:r>
    </w:p>
    <w:p w:rsidR="00DA56DF" w:rsidRDefault="00117592">
      <w:pPr>
        <w:ind w:firstLine="284"/>
        <w:jc w:val="both"/>
      </w:pPr>
      <w:r>
        <w:sym w:font="Symbol" w:char="F074"/>
      </w:r>
      <w:r>
        <w:t xml:space="preserve"> - время релаксации заряда в нефтепродукте, </w:t>
      </w:r>
      <w:proofErr w:type="gramStart"/>
      <w:r>
        <w:t>с</w:t>
      </w:r>
      <w:proofErr w:type="gramEnd"/>
      <w:r>
        <w:t>;</w:t>
      </w:r>
    </w:p>
    <w:p w:rsidR="00DA56DF" w:rsidRDefault="00117592">
      <w:pPr>
        <w:ind w:firstLine="284"/>
        <w:jc w:val="center"/>
      </w:pPr>
      <w:r>
        <w:sym w:font="Symbol" w:char="F074"/>
      </w:r>
      <w:r>
        <w:t xml:space="preserve"> = </w:t>
      </w:r>
      <w:r>
        <w:sym w:font="Symbol" w:char="F065"/>
      </w:r>
      <w:r>
        <w:t xml:space="preserve"> </w:t>
      </w:r>
      <w:r>
        <w:sym w:font="Symbol" w:char="F0B4"/>
      </w:r>
      <w:r>
        <w:t xml:space="preserve"> </w:t>
      </w:r>
      <w:r>
        <w:sym w:font="Symbol" w:char="F065"/>
      </w:r>
      <w:r>
        <w:rPr>
          <w:vertAlign w:val="subscript"/>
        </w:rPr>
        <w:t>0</w:t>
      </w:r>
      <w:r>
        <w:t xml:space="preserve"> </w:t>
      </w:r>
      <w:r>
        <w:sym w:font="Symbol" w:char="F0B4"/>
      </w:r>
      <w:r>
        <w:sym w:font="Symbol" w:char="F072"/>
      </w:r>
      <w:r>
        <w:rPr>
          <w:i/>
          <w:iCs/>
          <w:vertAlign w:val="subscript"/>
          <w:lang w:val="en-US"/>
        </w:rPr>
        <w:t>v</w:t>
      </w:r>
      <w:r>
        <w:t>;</w:t>
      </w:r>
    </w:p>
    <w:p w:rsidR="00DA56DF" w:rsidRDefault="00117592">
      <w:pPr>
        <w:ind w:firstLine="284"/>
        <w:jc w:val="both"/>
      </w:pPr>
      <w:r>
        <w:sym w:font="Symbol" w:char="F065"/>
      </w:r>
      <w:r>
        <w:rPr>
          <w:vertAlign w:val="subscript"/>
        </w:rPr>
        <w:t>0</w:t>
      </w:r>
      <w:r>
        <w:t xml:space="preserve"> - электрическая постоянная;</w:t>
      </w:r>
    </w:p>
    <w:p w:rsidR="00DA56DF" w:rsidRDefault="00117592">
      <w:pPr>
        <w:ind w:firstLine="284"/>
        <w:jc w:val="center"/>
        <w:rPr>
          <w:szCs w:val="24"/>
        </w:rPr>
      </w:pPr>
      <w:r>
        <w:sym w:font="Symbol" w:char="F065"/>
      </w:r>
      <w:r>
        <w:rPr>
          <w:vertAlign w:val="subscript"/>
        </w:rPr>
        <w:t>0</w:t>
      </w:r>
      <w:r>
        <w:t xml:space="preserve"> = 8,854 </w:t>
      </w:r>
      <w:r>
        <w:sym w:font="Symbol" w:char="F0B4"/>
      </w:r>
      <w:r>
        <w:t>10</w:t>
      </w:r>
      <w:r>
        <w:rPr>
          <w:vertAlign w:val="superscript"/>
        </w:rPr>
        <w:sym w:font="Symbol" w:char="F02D"/>
      </w:r>
      <w:r>
        <w:rPr>
          <w:vertAlign w:val="superscript"/>
        </w:rPr>
        <w:t>12</w:t>
      </w:r>
      <w:r>
        <w:t xml:space="preserve"> ф/</w:t>
      </w:r>
      <w:proofErr w:type="gramStart"/>
      <w:r>
        <w:t>м</w:t>
      </w:r>
      <w:proofErr w:type="gramEnd"/>
      <w:r>
        <w:t>;</w:t>
      </w:r>
    </w:p>
    <w:p w:rsidR="00DA56DF" w:rsidRDefault="00117592">
      <w:pPr>
        <w:ind w:firstLine="284"/>
        <w:jc w:val="both"/>
        <w:rPr>
          <w:szCs w:val="24"/>
        </w:rPr>
      </w:pPr>
      <w:r>
        <w:sym w:font="Symbol" w:char="F072"/>
      </w:r>
      <w:r>
        <w:rPr>
          <w:i/>
          <w:iCs/>
          <w:vertAlign w:val="subscript"/>
          <w:lang w:val="en-US"/>
        </w:rPr>
        <w:t>v</w:t>
      </w:r>
      <w:r>
        <w:t xml:space="preserve"> - </w:t>
      </w:r>
      <w:proofErr w:type="gramStart"/>
      <w:r>
        <w:t>удельное</w:t>
      </w:r>
      <w:proofErr w:type="gramEnd"/>
      <w:r>
        <w:t xml:space="preserve"> объемное электрическое сопротивление нефтепродукта, </w:t>
      </w:r>
      <w:r>
        <w:rPr>
          <w:lang w:val="en-US"/>
        </w:rPr>
        <w:t>O</w:t>
      </w:r>
      <w:proofErr w:type="spellStart"/>
      <w:r>
        <w:t>м·м</w:t>
      </w:r>
      <w:proofErr w:type="spellEnd"/>
      <w:r>
        <w:t>.</w:t>
      </w:r>
    </w:p>
    <w:p w:rsidR="00DA56DF" w:rsidRDefault="00117592">
      <w:pPr>
        <w:ind w:firstLine="284"/>
        <w:jc w:val="both"/>
      </w:pPr>
      <w:r>
        <w:t xml:space="preserve">2.6. Определение минимальной энергии зажигания </w:t>
      </w:r>
      <w:proofErr w:type="spellStart"/>
      <w:r>
        <w:rPr>
          <w:i/>
          <w:iCs/>
          <w:lang w:val="en-US"/>
        </w:rPr>
        <w:t>W</w:t>
      </w:r>
      <w:r>
        <w:rPr>
          <w:vertAlign w:val="subscript"/>
          <w:lang w:val="en-US"/>
        </w:rPr>
        <w:t>min</w:t>
      </w:r>
      <w:proofErr w:type="spellEnd"/>
      <w:r>
        <w:t xml:space="preserve"> парогазовых смесей нефтепродуктов производится специализированными организациями - ВНИИТБХП и ВНИИПО по специальным методикам /4, 5, 6/. </w:t>
      </w:r>
    </w:p>
    <w:p w:rsidR="00DA56DF" w:rsidRDefault="00117592">
      <w:pPr>
        <w:ind w:firstLine="284"/>
        <w:jc w:val="both"/>
        <w:rPr>
          <w:szCs w:val="24"/>
        </w:rPr>
      </w:pPr>
      <w:r>
        <w:t xml:space="preserve">Для выполнения практических расчетов по определению допустимых скоростей нефтепродуктов специалистам предприятий </w:t>
      </w:r>
      <w:proofErr w:type="spellStart"/>
      <w:r>
        <w:t>нафтепродуктообеспечения</w:t>
      </w:r>
      <w:proofErr w:type="spellEnd"/>
      <w:r>
        <w:t xml:space="preserve"> следует использовать значение </w:t>
      </w:r>
      <w:r w:rsidR="00CD766F">
        <w:t>«</w:t>
      </w:r>
      <w:proofErr w:type="spellStart"/>
      <w:r>
        <w:rPr>
          <w:i/>
          <w:iCs/>
          <w:lang w:val="en-US"/>
        </w:rPr>
        <w:t>W</w:t>
      </w:r>
      <w:r>
        <w:rPr>
          <w:vertAlign w:val="subscript"/>
          <w:lang w:val="en-US"/>
        </w:rPr>
        <w:t>min</w:t>
      </w:r>
      <w:proofErr w:type="spellEnd"/>
      <w:r w:rsidR="00CD766F">
        <w:t>»</w:t>
      </w:r>
      <w:r>
        <w:t xml:space="preserve"> </w:t>
      </w:r>
      <w:proofErr w:type="gramStart"/>
      <w:r>
        <w:t>по</w:t>
      </w:r>
      <w:proofErr w:type="gramEnd"/>
      <w:r>
        <w:t xml:space="preserve"> приложений 2.</w:t>
      </w:r>
    </w:p>
    <w:p w:rsidR="00DA56DF" w:rsidRDefault="00117592">
      <w:pPr>
        <w:ind w:firstLine="284"/>
        <w:jc w:val="both"/>
        <w:rPr>
          <w:szCs w:val="24"/>
        </w:rPr>
      </w:pPr>
      <w:r>
        <w:t xml:space="preserve">2.7. Определение диэлектрической проницаемости </w:t>
      </w:r>
      <w:r w:rsidR="00CD766F">
        <w:t>«</w:t>
      </w:r>
      <w:r>
        <w:sym w:font="Symbol" w:char="F065"/>
      </w:r>
      <w:r w:rsidR="00CD766F">
        <w:t>«</w:t>
      </w:r>
      <w:r>
        <w:t xml:space="preserve"> и удельного объемного электрического сопротивления </w:t>
      </w:r>
      <w:r w:rsidR="00CD766F">
        <w:t>«</w:t>
      </w:r>
      <w:r>
        <w:sym w:font="Symbol" w:char="F072"/>
      </w:r>
      <w:r>
        <w:rPr>
          <w:i/>
          <w:iCs/>
          <w:vertAlign w:val="subscript"/>
          <w:lang w:val="en-US"/>
        </w:rPr>
        <w:t>v</w:t>
      </w:r>
      <w:r w:rsidR="00CD766F">
        <w:t>»</w:t>
      </w:r>
      <w:r>
        <w:t xml:space="preserve"> производится по ГОСТ 6581 специализированными организациями, в том числе СКБ </w:t>
      </w:r>
      <w:r w:rsidR="00CD766F">
        <w:t>«</w:t>
      </w:r>
      <w:proofErr w:type="spellStart"/>
      <w:r>
        <w:t>Транснефтеавтоматика</w:t>
      </w:r>
      <w:proofErr w:type="spellEnd"/>
      <w:r w:rsidR="00CD766F">
        <w:t>»</w:t>
      </w:r>
      <w:r>
        <w:t>.</w:t>
      </w:r>
    </w:p>
    <w:p w:rsidR="00DA56DF" w:rsidRDefault="00117592">
      <w:pPr>
        <w:ind w:firstLine="284"/>
        <w:jc w:val="both"/>
        <w:rPr>
          <w:szCs w:val="24"/>
        </w:rPr>
      </w:pPr>
      <w:r>
        <w:t xml:space="preserve">Для практических расчетов специалистам предприятий нефтепродуктообеспечения следует использовать значение </w:t>
      </w:r>
      <w:r w:rsidR="00CD766F">
        <w:t>«</w:t>
      </w:r>
      <w:r>
        <w:sym w:font="Symbol" w:char="F065"/>
      </w:r>
      <w:r w:rsidR="00CD766F">
        <w:t>«</w:t>
      </w:r>
      <w:r>
        <w:t xml:space="preserve"> и </w:t>
      </w:r>
      <w:r w:rsidR="00CD766F">
        <w:t>«</w:t>
      </w:r>
      <w:r>
        <w:sym w:font="Symbol" w:char="F072"/>
      </w:r>
      <w:r>
        <w:rPr>
          <w:i/>
          <w:iCs/>
          <w:vertAlign w:val="subscript"/>
          <w:lang w:val="en-US"/>
        </w:rPr>
        <w:t>v</w:t>
      </w:r>
      <w:r w:rsidR="00CD766F">
        <w:t>»</w:t>
      </w:r>
      <w:r>
        <w:t xml:space="preserve"> по приложению 3.</w:t>
      </w:r>
    </w:p>
    <w:p w:rsidR="00DA56DF" w:rsidRDefault="00117592">
      <w:pPr>
        <w:ind w:firstLine="284"/>
        <w:jc w:val="both"/>
        <w:rPr>
          <w:szCs w:val="24"/>
        </w:rPr>
      </w:pPr>
      <w:r>
        <w:t>2.8. Поверхностное натяжение нефтепродуктов определяется по приложению 4.</w:t>
      </w:r>
    </w:p>
    <w:p w:rsidR="00DA56DF" w:rsidRDefault="00117592">
      <w:pPr>
        <w:ind w:firstLine="284"/>
        <w:jc w:val="both"/>
        <w:rPr>
          <w:szCs w:val="24"/>
        </w:rPr>
      </w:pPr>
      <w:r>
        <w:t>2.9. Предельно допустимую плотность заряда нефтепродукта в диапазоне удельного объемного электрического сопротивления от 10</w:t>
      </w:r>
      <w:r>
        <w:rPr>
          <w:vertAlign w:val="superscript"/>
        </w:rPr>
        <w:t>9</w:t>
      </w:r>
      <w:r>
        <w:t xml:space="preserve"> до 10</w:t>
      </w:r>
      <w:r>
        <w:rPr>
          <w:vertAlign w:val="superscript"/>
        </w:rPr>
        <w:t>13</w:t>
      </w:r>
      <w:r>
        <w:t xml:space="preserve"> </w:t>
      </w:r>
      <w:proofErr w:type="spellStart"/>
      <w:r>
        <w:t>Ом·</w:t>
      </w:r>
      <w:proofErr w:type="gramStart"/>
      <w:r>
        <w:t>м</w:t>
      </w:r>
      <w:proofErr w:type="spellEnd"/>
      <w:proofErr w:type="gramEnd"/>
      <w:r>
        <w:t xml:space="preserve"> можно определять по номограммам приложения 5. Пример использования номограммы для определения плотности заряда приведен, в приложении 5 для нефтепродукта с удельным объемным сопротивлением 3,8</w:t>
      </w:r>
      <w:r>
        <w:sym w:font="Symbol" w:char="F0B4"/>
      </w:r>
      <w:r>
        <w:t>10</w:t>
      </w:r>
      <w:r>
        <w:rPr>
          <w:vertAlign w:val="superscript"/>
        </w:rPr>
        <w:t>9</w:t>
      </w:r>
      <w:r>
        <w:t xml:space="preserve"> </w:t>
      </w:r>
      <w:proofErr w:type="spellStart"/>
      <w:r>
        <w:t>Ом·</w:t>
      </w:r>
      <w:proofErr w:type="gramStart"/>
      <w:r>
        <w:t>м</w:t>
      </w:r>
      <w:proofErr w:type="spellEnd"/>
      <w:proofErr w:type="gramEnd"/>
      <w:r>
        <w:t>.</w:t>
      </w:r>
    </w:p>
    <w:p w:rsidR="00DA56DF" w:rsidRDefault="00117592">
      <w:pPr>
        <w:ind w:firstLine="284"/>
        <w:jc w:val="both"/>
      </w:pPr>
      <w:r>
        <w:t>2.10. Допустимая скорость нефтепродукта при заполнении резервуаров при их боковом наливе, автомобильных и железнодорожных цистерн при нижнем наливе можно определять по формуле</w:t>
      </w:r>
    </w:p>
    <w:p w:rsidR="00DA56DF" w:rsidRDefault="008550AE">
      <w:pPr>
        <w:ind w:firstLine="284"/>
        <w:jc w:val="right"/>
        <w:rPr>
          <w:szCs w:val="24"/>
        </w:rPr>
      </w:pPr>
      <w:r>
        <w:rPr>
          <w:position w:val="-30"/>
          <w:szCs w:val="24"/>
        </w:rPr>
        <w:lastRenderedPageBreak/>
        <w:pict>
          <v:shape id="_x0000_i1026" type="#_x0000_t75" style="width:125.5pt;height:38.5pt">
            <v:imagedata r:id="rId10" o:title=""/>
          </v:shape>
        </w:pict>
      </w:r>
      <w:r w:rsidR="00117592">
        <w:rPr>
          <w:szCs w:val="24"/>
        </w:rPr>
        <w:t>,                                                             (3)</w:t>
      </w:r>
    </w:p>
    <w:p w:rsidR="00DA56DF" w:rsidRDefault="00117592">
      <w:pPr>
        <w:jc w:val="both"/>
        <w:rPr>
          <w:szCs w:val="24"/>
        </w:rPr>
      </w:pPr>
      <w:r>
        <w:t xml:space="preserve">где </w:t>
      </w:r>
      <w:r>
        <w:rPr>
          <w:i/>
          <w:iCs/>
          <w:lang w:val="en-US"/>
        </w:rPr>
        <w:t>q</w:t>
      </w:r>
      <w:proofErr w:type="spellStart"/>
      <w:r>
        <w:rPr>
          <w:vertAlign w:val="subscript"/>
        </w:rPr>
        <w:t>п</w:t>
      </w:r>
      <w:proofErr w:type="gramStart"/>
      <w:r>
        <w:rPr>
          <w:vertAlign w:val="subscript"/>
        </w:rPr>
        <w:t>.д</w:t>
      </w:r>
      <w:proofErr w:type="gramEnd"/>
      <w:r>
        <w:rPr>
          <w:vertAlign w:val="subscript"/>
        </w:rPr>
        <w:t>оп</w:t>
      </w:r>
      <w:proofErr w:type="spellEnd"/>
      <w:r>
        <w:t xml:space="preserve"> - предельно допустимое значение плотности заряда в нефтепродукте, Кл/м</w:t>
      </w:r>
      <w:r>
        <w:rPr>
          <w:vertAlign w:val="superscript"/>
        </w:rPr>
        <w:t>3</w:t>
      </w:r>
      <w:r>
        <w:t>;</w:t>
      </w:r>
    </w:p>
    <w:p w:rsidR="00DA56DF" w:rsidRDefault="00117592">
      <w:pPr>
        <w:ind w:firstLine="284"/>
        <w:jc w:val="both"/>
        <w:rPr>
          <w:szCs w:val="24"/>
        </w:rPr>
      </w:pPr>
      <w:r>
        <w:rPr>
          <w:szCs w:val="32"/>
          <w:lang w:val="en-US"/>
        </w:rPr>
        <w:sym w:font="Symbol" w:char="F06E"/>
      </w:r>
      <w:r>
        <w:rPr>
          <w:szCs w:val="32"/>
        </w:rPr>
        <w:t xml:space="preserve"> - кинематическая вязкость нефтепродукта, м</w:t>
      </w:r>
      <w:proofErr w:type="gramStart"/>
      <w:r>
        <w:rPr>
          <w:szCs w:val="32"/>
          <w:vertAlign w:val="superscript"/>
        </w:rPr>
        <w:t>2</w:t>
      </w:r>
      <w:proofErr w:type="gramEnd"/>
      <w:r>
        <w:rPr>
          <w:szCs w:val="32"/>
        </w:rPr>
        <w:t>/с;</w:t>
      </w:r>
    </w:p>
    <w:p w:rsidR="00DA56DF" w:rsidRDefault="00117592">
      <w:pPr>
        <w:ind w:firstLine="284"/>
        <w:jc w:val="both"/>
        <w:rPr>
          <w:szCs w:val="24"/>
        </w:rPr>
      </w:pPr>
      <w:r>
        <w:rPr>
          <w:i/>
          <w:iCs/>
          <w:lang w:val="en-US"/>
        </w:rPr>
        <w:t>r</w:t>
      </w:r>
      <w:r>
        <w:rPr>
          <w:vertAlign w:val="subscript"/>
        </w:rPr>
        <w:t>0</w:t>
      </w:r>
      <w:r>
        <w:rPr>
          <w:rFonts w:cs="Courier New"/>
          <w:szCs w:val="34"/>
        </w:rPr>
        <w:t xml:space="preserve"> - радиус трубопровода, м;</w:t>
      </w:r>
    </w:p>
    <w:p w:rsidR="00DA56DF" w:rsidRDefault="00117592">
      <w:pPr>
        <w:ind w:firstLine="284"/>
        <w:jc w:val="both"/>
      </w:pPr>
      <w:r>
        <w:sym w:font="Symbol" w:char="F061"/>
      </w:r>
      <w:r>
        <w:t xml:space="preserve"> - коэффициент, учитывающий влияние мелкодисперсных примесей;</w:t>
      </w:r>
    </w:p>
    <w:p w:rsidR="00DA56DF" w:rsidRDefault="00117592">
      <w:pPr>
        <w:ind w:firstLine="284"/>
        <w:jc w:val="both"/>
        <w:rPr>
          <w:szCs w:val="24"/>
        </w:rPr>
      </w:pPr>
      <w:r>
        <w:sym w:font="Symbol" w:char="F062"/>
      </w:r>
      <w:r>
        <w:t xml:space="preserve"> - коэффициент, учитывающий состояние внутренней поверхности </w:t>
      </w:r>
      <w:r>
        <w:rPr>
          <w:szCs w:val="34"/>
        </w:rPr>
        <w:t>трубопровода;</w:t>
      </w:r>
    </w:p>
    <w:p w:rsidR="00DA56DF" w:rsidRDefault="00117592">
      <w:pPr>
        <w:ind w:firstLine="284"/>
        <w:jc w:val="both"/>
      </w:pPr>
      <w:r>
        <w:sym w:font="Symbol" w:char="F065"/>
      </w:r>
      <w:r>
        <w:t xml:space="preserve"> - относительная диэлектрическая проницаемость нефтепродукта;</w:t>
      </w:r>
    </w:p>
    <w:p w:rsidR="00DA56DF" w:rsidRDefault="00117592">
      <w:pPr>
        <w:ind w:firstLine="284"/>
        <w:jc w:val="both"/>
      </w:pPr>
      <w:r>
        <w:rPr>
          <w:i/>
          <w:iCs/>
        </w:rPr>
        <w:t>Т</w:t>
      </w:r>
      <w:r>
        <w:t xml:space="preserve"> - температура нефтепродукта, °К.</w:t>
      </w:r>
    </w:p>
    <w:p w:rsidR="00DA56DF" w:rsidRDefault="00117592">
      <w:pPr>
        <w:ind w:firstLine="284"/>
        <w:jc w:val="both"/>
        <w:rPr>
          <w:szCs w:val="24"/>
        </w:rPr>
      </w:pPr>
      <w:r>
        <w:t xml:space="preserve">2.11. Кинематическая вязкость нефтепродукта </w:t>
      </w:r>
      <w:r>
        <w:sym w:font="Symbol" w:char="F06E"/>
      </w:r>
      <w:r>
        <w:t xml:space="preserve"> определяется по стандартной методике.</w:t>
      </w:r>
    </w:p>
    <w:p w:rsidR="00DA56DF" w:rsidRDefault="00117592">
      <w:pPr>
        <w:ind w:firstLine="284"/>
        <w:jc w:val="both"/>
        <w:rPr>
          <w:szCs w:val="24"/>
        </w:rPr>
      </w:pPr>
      <w:r>
        <w:t xml:space="preserve">Коэффициент </w:t>
      </w:r>
      <w:r w:rsidR="00CD766F">
        <w:t>«</w:t>
      </w:r>
      <w:r>
        <w:sym w:font="Symbol" w:char="F061"/>
      </w:r>
      <w:r w:rsidR="00CD766F">
        <w:t>«</w:t>
      </w:r>
      <w:r>
        <w:t xml:space="preserve"> определяется по графику на рис.1. Содержание механических примесей </w:t>
      </w:r>
      <w:proofErr w:type="gramStart"/>
      <w:r>
        <w:t>в</w:t>
      </w:r>
      <w:proofErr w:type="gramEnd"/>
      <w:r>
        <w:t xml:space="preserve"> </w:t>
      </w:r>
      <w:proofErr w:type="gramStart"/>
      <w:r>
        <w:t>нефтепродукте</w:t>
      </w:r>
      <w:proofErr w:type="gramEnd"/>
      <w:r>
        <w:t xml:space="preserve"> определяется лабораторным путем. Если примесей более 20 г/м</w:t>
      </w:r>
      <w:r>
        <w:rPr>
          <w:vertAlign w:val="superscript"/>
        </w:rPr>
        <w:t>3</w:t>
      </w:r>
      <w:r>
        <w:t xml:space="preserve">, принимается </w:t>
      </w:r>
      <w:r>
        <w:sym w:font="Symbol" w:char="F061"/>
      </w:r>
      <w:r>
        <w:t>= 1,3.</w:t>
      </w:r>
    </w:p>
    <w:p w:rsidR="00DA56DF" w:rsidRDefault="00117592">
      <w:pPr>
        <w:ind w:firstLine="284"/>
        <w:jc w:val="both"/>
      </w:pPr>
      <w:r>
        <w:t xml:space="preserve">Значение коэффициента </w:t>
      </w:r>
      <w:r>
        <w:sym w:font="Symbol" w:char="F062"/>
      </w:r>
      <w:r>
        <w:t xml:space="preserve"> принимается по табл.1.</w:t>
      </w:r>
    </w:p>
    <w:p w:rsidR="00DA56DF" w:rsidRDefault="00117592">
      <w:pPr>
        <w:ind w:firstLine="284"/>
        <w:jc w:val="center"/>
        <w:rPr>
          <w:b/>
          <w:bCs/>
          <w:szCs w:val="24"/>
        </w:rPr>
      </w:pPr>
      <w:r>
        <w:rPr>
          <w:szCs w:val="24"/>
        </w:rPr>
        <w:br w:type="page"/>
      </w:r>
      <w:r>
        <w:rPr>
          <w:b/>
          <w:bCs/>
          <w:szCs w:val="24"/>
        </w:rPr>
        <w:lastRenderedPageBreak/>
        <w:t xml:space="preserve">Зависимость величины коэффициента </w:t>
      </w:r>
      <w:r>
        <w:rPr>
          <w:b/>
          <w:bCs/>
          <w:szCs w:val="24"/>
        </w:rPr>
        <w:sym w:font="Symbol" w:char="F061"/>
      </w:r>
      <w:r>
        <w:rPr>
          <w:b/>
          <w:bCs/>
          <w:szCs w:val="24"/>
        </w:rPr>
        <w:t xml:space="preserve"> от содержания мелкодисперсных примесей в нефтепродуктах</w:t>
      </w:r>
    </w:p>
    <w:p w:rsidR="00DA56DF" w:rsidRDefault="00DA56DF">
      <w:pPr>
        <w:ind w:firstLine="284"/>
        <w:jc w:val="both"/>
        <w:rPr>
          <w:szCs w:val="24"/>
        </w:rPr>
      </w:pPr>
    </w:p>
    <w:p w:rsidR="00DA56DF" w:rsidRDefault="00E63CA8">
      <w:pPr>
        <w:ind w:firstLine="284"/>
        <w:jc w:val="center"/>
        <w:rPr>
          <w:szCs w:val="24"/>
        </w:rPr>
      </w:pPr>
      <w:r>
        <w:rPr>
          <w:noProof/>
          <w:szCs w:val="24"/>
        </w:rPr>
        <w:drawing>
          <wp:inline distT="0" distB="0" distL="0" distR="0" wp14:anchorId="093D0D13" wp14:editId="062B39C5">
            <wp:extent cx="4067175" cy="51054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7175" cy="5105400"/>
                    </a:xfrm>
                    <a:prstGeom prst="rect">
                      <a:avLst/>
                    </a:prstGeom>
                    <a:noFill/>
                    <a:ln>
                      <a:noFill/>
                    </a:ln>
                  </pic:spPr>
                </pic:pic>
              </a:graphicData>
            </a:graphic>
          </wp:inline>
        </w:drawing>
      </w:r>
    </w:p>
    <w:p w:rsidR="00DA56DF" w:rsidRDefault="00DA56DF">
      <w:pPr>
        <w:ind w:firstLine="284"/>
        <w:jc w:val="both"/>
        <w:rPr>
          <w:szCs w:val="24"/>
        </w:rPr>
      </w:pPr>
    </w:p>
    <w:p w:rsidR="00DA56DF" w:rsidRDefault="00117592">
      <w:pPr>
        <w:ind w:firstLine="284"/>
        <w:jc w:val="center"/>
        <w:rPr>
          <w:szCs w:val="24"/>
        </w:rPr>
      </w:pPr>
      <w:r>
        <w:rPr>
          <w:szCs w:val="24"/>
        </w:rPr>
        <w:t>Рис. 1</w:t>
      </w:r>
    </w:p>
    <w:p w:rsidR="00DA56DF" w:rsidRDefault="00DA56DF">
      <w:pPr>
        <w:ind w:firstLine="284"/>
        <w:jc w:val="both"/>
        <w:rPr>
          <w:szCs w:val="24"/>
        </w:rPr>
      </w:pPr>
    </w:p>
    <w:p w:rsidR="00DA56DF" w:rsidRDefault="00117592">
      <w:pPr>
        <w:ind w:firstLine="284"/>
        <w:jc w:val="right"/>
      </w:pPr>
      <w:r>
        <w:t>Таблица 1</w:t>
      </w:r>
    </w:p>
    <w:p w:rsidR="00DA56DF" w:rsidRDefault="00DA56DF">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61"/>
        <w:gridCol w:w="1610"/>
      </w:tblGrid>
      <w:tr w:rsidR="00DA56DF">
        <w:tc>
          <w:tcPr>
            <w:tcW w:w="6761" w:type="dxa"/>
            <w:shd w:val="clear" w:color="auto" w:fill="FFFFFF"/>
            <w:vAlign w:val="center"/>
          </w:tcPr>
          <w:p w:rsidR="00DA56DF" w:rsidRDefault="00117592">
            <w:pPr>
              <w:jc w:val="center"/>
              <w:rPr>
                <w:szCs w:val="24"/>
              </w:rPr>
            </w:pPr>
            <w:r>
              <w:t>Характер стыковочного узла и трубопровода при наливе</w:t>
            </w:r>
          </w:p>
        </w:tc>
        <w:tc>
          <w:tcPr>
            <w:tcW w:w="1610" w:type="dxa"/>
            <w:shd w:val="clear" w:color="auto" w:fill="FFFFFF"/>
            <w:vAlign w:val="center"/>
          </w:tcPr>
          <w:p w:rsidR="00DA56DF" w:rsidRDefault="00117592">
            <w:pPr>
              <w:jc w:val="center"/>
              <w:rPr>
                <w:szCs w:val="24"/>
              </w:rPr>
            </w:pPr>
            <w:r>
              <w:t xml:space="preserve">Значение коэффициента, </w:t>
            </w:r>
            <w:r>
              <w:sym w:font="Symbol" w:char="F062"/>
            </w:r>
          </w:p>
        </w:tc>
      </w:tr>
      <w:tr w:rsidR="00DA56DF">
        <w:tc>
          <w:tcPr>
            <w:tcW w:w="6761" w:type="dxa"/>
            <w:shd w:val="clear" w:color="auto" w:fill="FFFFFF"/>
          </w:tcPr>
          <w:p w:rsidR="00DA56DF" w:rsidRDefault="00117592">
            <w:pPr>
              <w:jc w:val="both"/>
              <w:rPr>
                <w:szCs w:val="24"/>
              </w:rPr>
            </w:pPr>
            <w:r>
              <w:t>резиновый шланг длиной не менее 6 м, патрубок резервуара или цистерны</w:t>
            </w:r>
          </w:p>
        </w:tc>
        <w:tc>
          <w:tcPr>
            <w:tcW w:w="1610" w:type="dxa"/>
            <w:shd w:val="clear" w:color="auto" w:fill="FFFFFF"/>
          </w:tcPr>
          <w:p w:rsidR="00DA56DF" w:rsidRDefault="00117592">
            <w:pPr>
              <w:jc w:val="center"/>
              <w:rPr>
                <w:szCs w:val="24"/>
              </w:rPr>
            </w:pPr>
            <w:r>
              <w:rPr>
                <w:szCs w:val="28"/>
              </w:rPr>
              <w:t>0,7</w:t>
            </w:r>
          </w:p>
        </w:tc>
      </w:tr>
      <w:tr w:rsidR="00DA56DF">
        <w:tc>
          <w:tcPr>
            <w:tcW w:w="6761" w:type="dxa"/>
            <w:shd w:val="clear" w:color="auto" w:fill="FFFFFF"/>
          </w:tcPr>
          <w:p w:rsidR="00DA56DF" w:rsidRDefault="00117592">
            <w:pPr>
              <w:jc w:val="both"/>
              <w:rPr>
                <w:szCs w:val="24"/>
              </w:rPr>
            </w:pPr>
            <w:r>
              <w:t>резиновый шланг длиной менее 6 м или стальной трубопровод без следов ржавчины на внутренней поверхности</w:t>
            </w:r>
          </w:p>
        </w:tc>
        <w:tc>
          <w:tcPr>
            <w:tcW w:w="1610" w:type="dxa"/>
            <w:shd w:val="clear" w:color="auto" w:fill="FFFFFF"/>
          </w:tcPr>
          <w:p w:rsidR="00DA56DF" w:rsidRDefault="00117592">
            <w:pPr>
              <w:jc w:val="center"/>
              <w:rPr>
                <w:szCs w:val="24"/>
              </w:rPr>
            </w:pPr>
            <w:r>
              <w:rPr>
                <w:szCs w:val="28"/>
              </w:rPr>
              <w:t>1,0</w:t>
            </w:r>
          </w:p>
        </w:tc>
      </w:tr>
      <w:tr w:rsidR="00DA56DF">
        <w:tc>
          <w:tcPr>
            <w:tcW w:w="6761" w:type="dxa"/>
            <w:shd w:val="clear" w:color="auto" w:fill="FFFFFF"/>
          </w:tcPr>
          <w:p w:rsidR="00DA56DF" w:rsidRDefault="00117592">
            <w:pPr>
              <w:jc w:val="both"/>
              <w:rPr>
                <w:szCs w:val="24"/>
              </w:rPr>
            </w:pPr>
            <w:r>
              <w:t>при наличии следов ржавчины на внутренней поверхности трубопроводов</w:t>
            </w:r>
          </w:p>
        </w:tc>
        <w:tc>
          <w:tcPr>
            <w:tcW w:w="1610" w:type="dxa"/>
            <w:shd w:val="clear" w:color="auto" w:fill="FFFFFF"/>
          </w:tcPr>
          <w:p w:rsidR="00DA56DF" w:rsidRDefault="00117592">
            <w:pPr>
              <w:jc w:val="center"/>
              <w:rPr>
                <w:szCs w:val="24"/>
              </w:rPr>
            </w:pPr>
            <w:r>
              <w:rPr>
                <w:szCs w:val="28"/>
              </w:rPr>
              <w:t>1,8</w:t>
            </w:r>
          </w:p>
        </w:tc>
      </w:tr>
      <w:tr w:rsidR="00DA56DF">
        <w:tc>
          <w:tcPr>
            <w:tcW w:w="6761" w:type="dxa"/>
            <w:shd w:val="clear" w:color="auto" w:fill="FFFFFF"/>
          </w:tcPr>
          <w:p w:rsidR="00DA56DF" w:rsidRDefault="00117592">
            <w:pPr>
              <w:jc w:val="both"/>
              <w:rPr>
                <w:szCs w:val="24"/>
              </w:rPr>
            </w:pPr>
            <w:r>
              <w:t>при наличии значительного слоя ржавчины на поверхности трубопровода</w:t>
            </w:r>
          </w:p>
        </w:tc>
        <w:tc>
          <w:tcPr>
            <w:tcW w:w="1610" w:type="dxa"/>
            <w:shd w:val="clear" w:color="auto" w:fill="FFFFFF"/>
          </w:tcPr>
          <w:p w:rsidR="00DA56DF" w:rsidRDefault="00117592">
            <w:pPr>
              <w:jc w:val="center"/>
              <w:rPr>
                <w:szCs w:val="24"/>
              </w:rPr>
            </w:pPr>
            <w:r>
              <w:rPr>
                <w:szCs w:val="28"/>
              </w:rPr>
              <w:t>2,0</w:t>
            </w:r>
          </w:p>
        </w:tc>
      </w:tr>
    </w:tbl>
    <w:p w:rsidR="00DA56DF" w:rsidRDefault="00DA56DF">
      <w:pPr>
        <w:ind w:firstLine="284"/>
        <w:jc w:val="both"/>
      </w:pPr>
    </w:p>
    <w:p w:rsidR="00DA56DF" w:rsidRDefault="00117592">
      <w:pPr>
        <w:ind w:firstLine="284"/>
        <w:jc w:val="both"/>
        <w:rPr>
          <w:szCs w:val="24"/>
        </w:rPr>
      </w:pPr>
      <w:r>
        <w:t>2.12. На практике специалистам предприятии нефтепродуктообеспечения для определения допустимой скорости нефтепродукта при заполнении боковым способом налива резервуаров и транспортных емкостей нижним способом налива можно использовать номограммы приложения 7.</w:t>
      </w:r>
    </w:p>
    <w:p w:rsidR="00DA56DF" w:rsidRDefault="00117592">
      <w:pPr>
        <w:ind w:firstLine="284"/>
        <w:jc w:val="both"/>
        <w:rPr>
          <w:szCs w:val="24"/>
        </w:rPr>
      </w:pPr>
      <w:r>
        <w:t xml:space="preserve">Допустимая скорость истечения нефтепродукта с помощью номограмм определяется использованием известных значений плотности заряда нефтепродукта, его диэлектрической проницаемости и температуры, коэффициентов </w:t>
      </w:r>
      <w:r w:rsidR="00CD766F">
        <w:t>«</w:t>
      </w:r>
      <w:r>
        <w:sym w:font="Symbol" w:char="F061"/>
      </w:r>
      <w:r w:rsidR="00CD766F">
        <w:t>«</w:t>
      </w:r>
      <w:r>
        <w:t xml:space="preserve"> и </w:t>
      </w:r>
      <w:r w:rsidR="00CD766F">
        <w:t>«</w:t>
      </w:r>
      <w:r>
        <w:sym w:font="Symbol" w:char="F062"/>
      </w:r>
      <w:r w:rsidR="00CD766F">
        <w:t>«</w:t>
      </w:r>
      <w:r>
        <w:t>, а также характеристики резервуара. Пример использования номограммы для определения допустимой скорости нефтепродукта приведен в приложении 7.</w:t>
      </w:r>
    </w:p>
    <w:p w:rsidR="00DA56DF" w:rsidRDefault="00117592">
      <w:pPr>
        <w:ind w:firstLine="284"/>
        <w:jc w:val="both"/>
        <w:rPr>
          <w:szCs w:val="24"/>
        </w:rPr>
      </w:pPr>
      <w:r>
        <w:lastRenderedPageBreak/>
        <w:t>2.13. При верхнем наливе за счет прохождения наэлектризованной струи слоя нефтепродуктов происходит частичная релаксация, т.е. снижение заряда нефтепродукта, вследствие чего в поверхностном слое нефтепродукта в резервуаре плотность заряда ниже, чем в трубопроводе.</w:t>
      </w:r>
    </w:p>
    <w:p w:rsidR="00DA56DF" w:rsidRDefault="00117592">
      <w:pPr>
        <w:ind w:firstLine="284"/>
        <w:jc w:val="both"/>
        <w:rPr>
          <w:szCs w:val="24"/>
        </w:rPr>
      </w:pPr>
      <w:r>
        <w:t xml:space="preserve">2.14. Определение плотности заряда нефтепродукта экспериментальным путем определяется специализированными организациями по специальным методикам, а также специалистами СКБ </w:t>
      </w:r>
      <w:r w:rsidR="00CD766F">
        <w:t>«</w:t>
      </w:r>
      <w:proofErr w:type="spellStart"/>
      <w:r>
        <w:t>Транснефтеавтоматика</w:t>
      </w:r>
      <w:proofErr w:type="spellEnd"/>
      <w:r w:rsidR="00CD766F">
        <w:t>»</w:t>
      </w:r>
      <w:r>
        <w:t>'.</w:t>
      </w:r>
    </w:p>
    <w:p w:rsidR="00DA56DF" w:rsidRDefault="00117592">
      <w:pPr>
        <w:ind w:firstLine="284"/>
        <w:jc w:val="both"/>
        <w:rPr>
          <w:szCs w:val="24"/>
        </w:rPr>
      </w:pPr>
      <w:r>
        <w:t xml:space="preserve">В практической деятельности предприятий нефтепродуктообеспечения плотность заряда при верхнем наливе резервуаров и транспортных емкостей определяется по номограммам приложения 5. Вспомогательные величины </w:t>
      </w:r>
      <w:r>
        <w:sym w:font="Symbol" w:char="F065"/>
      </w:r>
      <w:r>
        <w:t xml:space="preserve"> и </w:t>
      </w:r>
      <w:r>
        <w:sym w:font="Symbol" w:char="F072"/>
      </w:r>
      <w:r>
        <w:rPr>
          <w:i/>
          <w:iCs/>
          <w:vertAlign w:val="subscript"/>
          <w:lang w:val="en-US"/>
        </w:rPr>
        <w:t>v</w:t>
      </w:r>
      <w:r>
        <w:t xml:space="preserve">, кинематическая вязкость </w:t>
      </w:r>
      <w:r>
        <w:sym w:font="Symbol" w:char="F06E"/>
      </w:r>
      <w:r>
        <w:t xml:space="preserve">, коэффициенты </w:t>
      </w:r>
      <w:r>
        <w:sym w:font="Symbol" w:char="F061"/>
      </w:r>
      <w:r>
        <w:t xml:space="preserve"> и </w:t>
      </w:r>
      <w:r>
        <w:sym w:font="Symbol" w:char="F062"/>
      </w:r>
      <w:r>
        <w:t xml:space="preserve"> определяются в соответствии с п.2.7 и 2.11.</w:t>
      </w:r>
    </w:p>
    <w:p w:rsidR="00DA56DF" w:rsidRDefault="00117592">
      <w:pPr>
        <w:ind w:firstLine="284"/>
        <w:jc w:val="both"/>
        <w:rPr>
          <w:szCs w:val="24"/>
        </w:rPr>
      </w:pPr>
      <w:r>
        <w:t>2.15. В практической деятельности предприятий нефтепродуктообеспечения при верхнем наливе горизонтальных резервуаров, автомобильных цистерн вместимостью от 4 до 8 м</w:t>
      </w:r>
      <w:r>
        <w:rPr>
          <w:vertAlign w:val="superscript"/>
        </w:rPr>
        <w:t>3</w:t>
      </w:r>
      <w:r>
        <w:t>, железнодорожных цистерн вместимостью от 25 до 90 м</w:t>
      </w:r>
      <w:r>
        <w:rPr>
          <w:vertAlign w:val="superscript"/>
        </w:rPr>
        <w:t>3</w:t>
      </w:r>
      <w:r>
        <w:t xml:space="preserve"> допустимые скорости заполнения определяются по номограммам приложения 6. Определение производится в зависимости от плотности заряда, определяемой по номограммам 1-4.</w:t>
      </w:r>
    </w:p>
    <w:p w:rsidR="00DA56DF" w:rsidRDefault="00117592">
      <w:pPr>
        <w:ind w:firstLine="284"/>
        <w:jc w:val="both"/>
        <w:rPr>
          <w:szCs w:val="24"/>
        </w:rPr>
      </w:pPr>
      <w:r>
        <w:t>В номограмме 5 приведен пример использования номограммы для определения допустимой скорости заполнения емкостей.</w:t>
      </w:r>
    </w:p>
    <w:p w:rsidR="00DA56DF" w:rsidRDefault="00117592">
      <w:pPr>
        <w:ind w:firstLine="284"/>
        <w:jc w:val="both"/>
      </w:pPr>
      <w:r>
        <w:t>2.16. Средства измерения и приборы, применяемые для измерения электрических величин, приведены в табл.2.</w:t>
      </w:r>
    </w:p>
    <w:p w:rsidR="00DA56DF" w:rsidRDefault="00DA56DF">
      <w:pPr>
        <w:ind w:firstLine="284"/>
        <w:jc w:val="both"/>
        <w:rPr>
          <w:szCs w:val="24"/>
        </w:rPr>
      </w:pPr>
    </w:p>
    <w:p w:rsidR="00DA56DF" w:rsidRDefault="00117592">
      <w:pPr>
        <w:ind w:firstLine="284"/>
        <w:jc w:val="right"/>
      </w:pPr>
      <w:r>
        <w:t>Таблица 2</w:t>
      </w:r>
    </w:p>
    <w:p w:rsidR="00DA56DF" w:rsidRDefault="00DA56DF">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3147"/>
        <w:gridCol w:w="2977"/>
        <w:gridCol w:w="2247"/>
      </w:tblGrid>
      <w:tr w:rsidR="00DA56DF">
        <w:tc>
          <w:tcPr>
            <w:tcW w:w="3147" w:type="dxa"/>
            <w:tcBorders>
              <w:top w:val="single" w:sz="4" w:space="0" w:color="auto"/>
              <w:left w:val="single" w:sz="4" w:space="0" w:color="auto"/>
              <w:bottom w:val="single" w:sz="4" w:space="0" w:color="auto"/>
              <w:right w:val="single" w:sz="4" w:space="0" w:color="auto"/>
            </w:tcBorders>
            <w:shd w:val="clear" w:color="auto" w:fill="FFFFFF"/>
            <w:vAlign w:val="center"/>
          </w:tcPr>
          <w:p w:rsidR="00DA56DF" w:rsidRDefault="00117592">
            <w:pPr>
              <w:jc w:val="center"/>
              <w:rPr>
                <w:szCs w:val="24"/>
              </w:rPr>
            </w:pPr>
            <w:r>
              <w:t>Наименование средства измерения</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DA56DF" w:rsidRDefault="00117592">
            <w:pPr>
              <w:jc w:val="center"/>
              <w:rPr>
                <w:szCs w:val="24"/>
              </w:rPr>
            </w:pPr>
            <w:r>
              <w:t>Назначение средства измерения</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rsidR="00DA56DF" w:rsidRDefault="00117592">
            <w:pPr>
              <w:jc w:val="center"/>
              <w:rPr>
                <w:szCs w:val="24"/>
              </w:rPr>
            </w:pPr>
            <w:r>
              <w:t>Диапазон измерения</w:t>
            </w:r>
          </w:p>
        </w:tc>
      </w:tr>
      <w:tr w:rsidR="00DA56DF">
        <w:tc>
          <w:tcPr>
            <w:tcW w:w="3147" w:type="dxa"/>
            <w:tcBorders>
              <w:top w:val="single" w:sz="4" w:space="0" w:color="auto"/>
              <w:left w:val="single" w:sz="4" w:space="0" w:color="auto"/>
              <w:right w:val="single" w:sz="4" w:space="0" w:color="auto"/>
            </w:tcBorders>
            <w:shd w:val="clear" w:color="auto" w:fill="FFFFFF"/>
          </w:tcPr>
          <w:p w:rsidR="00DA56DF" w:rsidRDefault="00117592">
            <w:pPr>
              <w:jc w:val="both"/>
              <w:rPr>
                <w:szCs w:val="24"/>
              </w:rPr>
            </w:pPr>
            <w:proofErr w:type="spellStart"/>
            <w:r>
              <w:t>Тераомметр</w:t>
            </w:r>
            <w:proofErr w:type="spellEnd"/>
            <w:r>
              <w:t xml:space="preserve"> Е 6-13</w:t>
            </w:r>
            <w:r>
              <w:rPr>
                <w:lang w:val="en-US"/>
              </w:rPr>
              <w:t>A</w:t>
            </w:r>
          </w:p>
        </w:tc>
        <w:tc>
          <w:tcPr>
            <w:tcW w:w="2977" w:type="dxa"/>
            <w:tcBorders>
              <w:top w:val="single" w:sz="4" w:space="0" w:color="auto"/>
              <w:left w:val="single" w:sz="4" w:space="0" w:color="auto"/>
              <w:right w:val="single" w:sz="4" w:space="0" w:color="auto"/>
            </w:tcBorders>
            <w:shd w:val="clear" w:color="auto" w:fill="FFFFFF"/>
          </w:tcPr>
          <w:p w:rsidR="00DA56DF" w:rsidRDefault="00117592">
            <w:pPr>
              <w:jc w:val="both"/>
              <w:rPr>
                <w:szCs w:val="24"/>
              </w:rPr>
            </w:pPr>
            <w:r>
              <w:t>Измерение сопротивления постоянному току</w:t>
            </w:r>
          </w:p>
        </w:tc>
        <w:tc>
          <w:tcPr>
            <w:tcW w:w="2247" w:type="dxa"/>
            <w:tcBorders>
              <w:top w:val="single" w:sz="4" w:space="0" w:color="auto"/>
              <w:left w:val="single" w:sz="4" w:space="0" w:color="auto"/>
              <w:right w:val="single" w:sz="4" w:space="0" w:color="auto"/>
            </w:tcBorders>
            <w:shd w:val="clear" w:color="auto" w:fill="FFFFFF"/>
          </w:tcPr>
          <w:p w:rsidR="00DA56DF" w:rsidRDefault="00117592">
            <w:pPr>
              <w:jc w:val="both"/>
              <w:rPr>
                <w:szCs w:val="24"/>
              </w:rPr>
            </w:pPr>
            <w:r>
              <w:t>от 10 до 10</w:t>
            </w:r>
            <w:r>
              <w:rPr>
                <w:vertAlign w:val="superscript"/>
              </w:rPr>
              <w:t>14</w:t>
            </w:r>
            <w:r>
              <w:t xml:space="preserve"> Ом</w:t>
            </w:r>
          </w:p>
        </w:tc>
      </w:tr>
      <w:tr w:rsidR="00DA56DF">
        <w:tc>
          <w:tcPr>
            <w:tcW w:w="3147" w:type="dxa"/>
            <w:tcBorders>
              <w:left w:val="single" w:sz="4" w:space="0" w:color="auto"/>
              <w:right w:val="single" w:sz="4" w:space="0" w:color="auto"/>
            </w:tcBorders>
            <w:shd w:val="clear" w:color="auto" w:fill="FFFFFF"/>
          </w:tcPr>
          <w:p w:rsidR="00DA56DF" w:rsidRDefault="00117592">
            <w:pPr>
              <w:jc w:val="both"/>
              <w:rPr>
                <w:szCs w:val="24"/>
              </w:rPr>
            </w:pPr>
            <w:proofErr w:type="spellStart"/>
            <w:r>
              <w:t>Тераомметр</w:t>
            </w:r>
            <w:proofErr w:type="spellEnd"/>
            <w:r>
              <w:t xml:space="preserve"> Е 6-13</w:t>
            </w:r>
          </w:p>
        </w:tc>
        <w:tc>
          <w:tcPr>
            <w:tcW w:w="2977" w:type="dxa"/>
            <w:tcBorders>
              <w:left w:val="single" w:sz="4" w:space="0" w:color="auto"/>
              <w:right w:val="single" w:sz="4" w:space="0" w:color="auto"/>
            </w:tcBorders>
            <w:shd w:val="clear" w:color="auto" w:fill="FFFFFF"/>
          </w:tcPr>
          <w:p w:rsidR="00DA56DF" w:rsidRDefault="00117592">
            <w:pPr>
              <w:jc w:val="center"/>
              <w:rPr>
                <w:szCs w:val="24"/>
              </w:rPr>
            </w:pPr>
            <w:r>
              <w:t>То же</w:t>
            </w:r>
          </w:p>
        </w:tc>
        <w:tc>
          <w:tcPr>
            <w:tcW w:w="2247" w:type="dxa"/>
            <w:tcBorders>
              <w:left w:val="single" w:sz="4" w:space="0" w:color="auto"/>
              <w:right w:val="single" w:sz="4" w:space="0" w:color="auto"/>
            </w:tcBorders>
            <w:shd w:val="clear" w:color="auto" w:fill="FFFFFF"/>
          </w:tcPr>
          <w:p w:rsidR="00DA56DF" w:rsidRDefault="00117592">
            <w:pPr>
              <w:jc w:val="both"/>
              <w:rPr>
                <w:szCs w:val="24"/>
              </w:rPr>
            </w:pPr>
            <w:r>
              <w:t>от 10 до 10</w:t>
            </w:r>
            <w:r>
              <w:rPr>
                <w:vertAlign w:val="superscript"/>
              </w:rPr>
              <w:t>12</w:t>
            </w:r>
            <w:r>
              <w:t xml:space="preserve"> Ом</w:t>
            </w:r>
          </w:p>
        </w:tc>
      </w:tr>
      <w:tr w:rsidR="00DA56DF">
        <w:tc>
          <w:tcPr>
            <w:tcW w:w="3147" w:type="dxa"/>
            <w:tcBorders>
              <w:left w:val="single" w:sz="4" w:space="0" w:color="auto"/>
              <w:right w:val="single" w:sz="4" w:space="0" w:color="auto"/>
            </w:tcBorders>
            <w:shd w:val="clear" w:color="auto" w:fill="FFFFFF"/>
          </w:tcPr>
          <w:p w:rsidR="00DA56DF" w:rsidRDefault="00117592">
            <w:pPr>
              <w:jc w:val="both"/>
              <w:rPr>
                <w:szCs w:val="24"/>
              </w:rPr>
            </w:pPr>
            <w:r>
              <w:t>Мегомметр Е 6-17</w:t>
            </w:r>
          </w:p>
        </w:tc>
        <w:tc>
          <w:tcPr>
            <w:tcW w:w="2977"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c>
          <w:tcPr>
            <w:tcW w:w="2247" w:type="dxa"/>
            <w:tcBorders>
              <w:left w:val="single" w:sz="4" w:space="0" w:color="auto"/>
              <w:right w:val="single" w:sz="4" w:space="0" w:color="auto"/>
            </w:tcBorders>
            <w:shd w:val="clear" w:color="auto" w:fill="FFFFFF"/>
          </w:tcPr>
          <w:p w:rsidR="00DA56DF" w:rsidRDefault="00117592">
            <w:pPr>
              <w:jc w:val="both"/>
              <w:rPr>
                <w:szCs w:val="24"/>
              </w:rPr>
            </w:pPr>
            <w:r>
              <w:t>от 10 до 3·10</w:t>
            </w:r>
            <w:r>
              <w:rPr>
                <w:vertAlign w:val="superscript"/>
              </w:rPr>
              <w:t>10</w:t>
            </w:r>
            <w:r>
              <w:t xml:space="preserve"> Ом</w:t>
            </w:r>
          </w:p>
        </w:tc>
      </w:tr>
      <w:tr w:rsidR="00DA56DF">
        <w:tc>
          <w:tcPr>
            <w:tcW w:w="3147" w:type="dxa"/>
            <w:tcBorders>
              <w:left w:val="single" w:sz="4" w:space="0" w:color="auto"/>
              <w:right w:val="single" w:sz="4" w:space="0" w:color="auto"/>
            </w:tcBorders>
            <w:shd w:val="clear" w:color="auto" w:fill="FFFFFF"/>
          </w:tcPr>
          <w:p w:rsidR="00DA56DF" w:rsidRDefault="00117592">
            <w:pPr>
              <w:jc w:val="both"/>
              <w:rPr>
                <w:szCs w:val="24"/>
              </w:rPr>
            </w:pPr>
            <w:r>
              <w:t>Измеритель сопротивлений</w:t>
            </w:r>
            <w:proofErr w:type="gramStart"/>
            <w:r>
              <w:t xml:space="preserve"> Е</w:t>
            </w:r>
            <w:proofErr w:type="gramEnd"/>
            <w:r>
              <w:t xml:space="preserve"> 6-21</w:t>
            </w:r>
          </w:p>
        </w:tc>
        <w:tc>
          <w:tcPr>
            <w:tcW w:w="2977"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c>
          <w:tcPr>
            <w:tcW w:w="2247" w:type="dxa"/>
            <w:tcBorders>
              <w:left w:val="single" w:sz="4" w:space="0" w:color="auto"/>
              <w:right w:val="single" w:sz="4" w:space="0" w:color="auto"/>
            </w:tcBorders>
            <w:shd w:val="clear" w:color="auto" w:fill="FFFFFF"/>
          </w:tcPr>
          <w:p w:rsidR="00DA56DF" w:rsidRDefault="00117592">
            <w:pPr>
              <w:jc w:val="both"/>
              <w:rPr>
                <w:szCs w:val="24"/>
              </w:rPr>
            </w:pPr>
            <w:r>
              <w:t>от 10</w:t>
            </w:r>
            <w:r>
              <w:rPr>
                <w:vertAlign w:val="superscript"/>
              </w:rPr>
              <w:t>5</w:t>
            </w:r>
            <w:r>
              <w:t xml:space="preserve"> до 2·10</w:t>
            </w:r>
            <w:r>
              <w:rPr>
                <w:vertAlign w:val="superscript"/>
              </w:rPr>
              <w:t>16</w:t>
            </w:r>
            <w:r>
              <w:t xml:space="preserve"> Ом</w:t>
            </w:r>
          </w:p>
        </w:tc>
      </w:tr>
      <w:tr w:rsidR="00DA56DF">
        <w:tc>
          <w:tcPr>
            <w:tcW w:w="3147" w:type="dxa"/>
            <w:tcBorders>
              <w:left w:val="single" w:sz="4" w:space="0" w:color="auto"/>
              <w:right w:val="single" w:sz="4" w:space="0" w:color="auto"/>
            </w:tcBorders>
            <w:shd w:val="clear" w:color="auto" w:fill="FFFFFF"/>
          </w:tcPr>
          <w:p w:rsidR="00DA56DF" w:rsidRDefault="00DA56DF">
            <w:pPr>
              <w:jc w:val="both"/>
              <w:rPr>
                <w:szCs w:val="24"/>
              </w:rPr>
            </w:pPr>
          </w:p>
        </w:tc>
        <w:tc>
          <w:tcPr>
            <w:tcW w:w="2977" w:type="dxa"/>
            <w:tcBorders>
              <w:left w:val="single" w:sz="4" w:space="0" w:color="auto"/>
              <w:right w:val="single" w:sz="4" w:space="0" w:color="auto"/>
            </w:tcBorders>
            <w:shd w:val="clear" w:color="auto" w:fill="FFFFFF"/>
          </w:tcPr>
          <w:p w:rsidR="00DA56DF" w:rsidRDefault="00117592">
            <w:pPr>
              <w:jc w:val="both"/>
              <w:rPr>
                <w:szCs w:val="24"/>
              </w:rPr>
            </w:pPr>
            <w:r>
              <w:t>Измерение тока</w:t>
            </w:r>
          </w:p>
        </w:tc>
        <w:tc>
          <w:tcPr>
            <w:tcW w:w="2247" w:type="dxa"/>
            <w:tcBorders>
              <w:left w:val="single" w:sz="4" w:space="0" w:color="auto"/>
              <w:right w:val="single" w:sz="4" w:space="0" w:color="auto"/>
            </w:tcBorders>
            <w:shd w:val="clear" w:color="auto" w:fill="FFFFFF"/>
          </w:tcPr>
          <w:p w:rsidR="00DA56DF" w:rsidRDefault="00117592">
            <w:pPr>
              <w:jc w:val="both"/>
              <w:rPr>
                <w:szCs w:val="24"/>
              </w:rPr>
            </w:pPr>
            <w:r>
              <w:t>от 5·10</w:t>
            </w:r>
            <w:r>
              <w:rPr>
                <w:vertAlign w:val="superscript"/>
              </w:rPr>
              <w:sym w:font="Symbol" w:char="F02D"/>
            </w:r>
            <w:r>
              <w:rPr>
                <w:vertAlign w:val="superscript"/>
              </w:rPr>
              <w:t>14</w:t>
            </w:r>
            <w:r>
              <w:t xml:space="preserve"> до 1·10</w:t>
            </w:r>
            <w:r>
              <w:rPr>
                <w:vertAlign w:val="superscript"/>
              </w:rPr>
              <w:sym w:font="Symbol" w:char="F02D"/>
            </w:r>
            <w:r>
              <w:rPr>
                <w:vertAlign w:val="superscript"/>
              </w:rPr>
              <w:t>4</w:t>
            </w:r>
            <w:proofErr w:type="gramStart"/>
            <w:r>
              <w:t xml:space="preserve"> А</w:t>
            </w:r>
            <w:proofErr w:type="gramEnd"/>
          </w:p>
        </w:tc>
      </w:tr>
      <w:tr w:rsidR="00DA56DF">
        <w:tc>
          <w:tcPr>
            <w:tcW w:w="3147" w:type="dxa"/>
            <w:tcBorders>
              <w:left w:val="single" w:sz="4" w:space="0" w:color="auto"/>
              <w:right w:val="single" w:sz="4" w:space="0" w:color="auto"/>
            </w:tcBorders>
            <w:shd w:val="clear" w:color="auto" w:fill="FFFFFF"/>
          </w:tcPr>
          <w:p w:rsidR="00DA56DF" w:rsidRDefault="00117592">
            <w:pPr>
              <w:jc w:val="both"/>
              <w:rPr>
                <w:szCs w:val="24"/>
              </w:rPr>
            </w:pPr>
            <w:r>
              <w:t>Мост переменного тока Ц</w:t>
            </w:r>
            <w:proofErr w:type="gramStart"/>
            <w:r>
              <w:rPr>
                <w:lang w:val="en-US"/>
              </w:rPr>
              <w:t>E</w:t>
            </w:r>
            <w:proofErr w:type="gramEnd"/>
            <w:r>
              <w:t xml:space="preserve"> 5002</w:t>
            </w:r>
          </w:p>
        </w:tc>
        <w:tc>
          <w:tcPr>
            <w:tcW w:w="2977" w:type="dxa"/>
            <w:tcBorders>
              <w:left w:val="single" w:sz="4" w:space="0" w:color="auto"/>
              <w:right w:val="single" w:sz="4" w:space="0" w:color="auto"/>
            </w:tcBorders>
            <w:shd w:val="clear" w:color="auto" w:fill="FFFFFF"/>
          </w:tcPr>
          <w:p w:rsidR="00DA56DF" w:rsidRDefault="00117592">
            <w:pPr>
              <w:jc w:val="both"/>
              <w:rPr>
                <w:szCs w:val="24"/>
              </w:rPr>
            </w:pPr>
            <w:r>
              <w:t>Измерение емкости</w:t>
            </w:r>
          </w:p>
        </w:tc>
        <w:tc>
          <w:tcPr>
            <w:tcW w:w="2247" w:type="dxa"/>
            <w:tcBorders>
              <w:left w:val="single" w:sz="4" w:space="0" w:color="auto"/>
              <w:right w:val="single" w:sz="4" w:space="0" w:color="auto"/>
            </w:tcBorders>
            <w:shd w:val="clear" w:color="auto" w:fill="FFFFFF"/>
          </w:tcPr>
          <w:p w:rsidR="00DA56DF" w:rsidRDefault="00117592">
            <w:pPr>
              <w:jc w:val="both"/>
              <w:rPr>
                <w:szCs w:val="24"/>
              </w:rPr>
            </w:pPr>
            <w:r>
              <w:t>от 1·10</w:t>
            </w:r>
            <w:r>
              <w:rPr>
                <w:vertAlign w:val="superscript"/>
              </w:rPr>
              <w:sym w:font="Symbol" w:char="F02D"/>
            </w:r>
            <w:r>
              <w:rPr>
                <w:vertAlign w:val="superscript"/>
              </w:rPr>
              <w:t>15</w:t>
            </w:r>
            <w:r>
              <w:t xml:space="preserve"> до 2·10</w:t>
            </w:r>
            <w:r>
              <w:rPr>
                <w:vertAlign w:val="superscript"/>
              </w:rPr>
              <w:sym w:font="Symbol" w:char="F02D"/>
            </w:r>
            <w:r>
              <w:rPr>
                <w:vertAlign w:val="superscript"/>
              </w:rPr>
              <w:t>2</w:t>
            </w:r>
            <w:r>
              <w:t xml:space="preserve"> Ф</w:t>
            </w:r>
          </w:p>
        </w:tc>
      </w:tr>
      <w:tr w:rsidR="00DA56DF">
        <w:tc>
          <w:tcPr>
            <w:tcW w:w="3147" w:type="dxa"/>
            <w:tcBorders>
              <w:left w:val="single" w:sz="4" w:space="0" w:color="auto"/>
              <w:right w:val="single" w:sz="4" w:space="0" w:color="auto"/>
            </w:tcBorders>
            <w:shd w:val="clear" w:color="auto" w:fill="FFFFFF"/>
          </w:tcPr>
          <w:p w:rsidR="00DA56DF" w:rsidRDefault="00117592">
            <w:pPr>
              <w:jc w:val="both"/>
              <w:rPr>
                <w:szCs w:val="24"/>
              </w:rPr>
            </w:pPr>
            <w:r>
              <w:t>Вольтметр электрометрический В7Э-1</w:t>
            </w:r>
          </w:p>
        </w:tc>
        <w:tc>
          <w:tcPr>
            <w:tcW w:w="2977" w:type="dxa"/>
            <w:tcBorders>
              <w:left w:val="single" w:sz="4" w:space="0" w:color="auto"/>
              <w:right w:val="single" w:sz="4" w:space="0" w:color="auto"/>
            </w:tcBorders>
            <w:shd w:val="clear" w:color="auto" w:fill="FFFFFF"/>
          </w:tcPr>
          <w:p w:rsidR="00DA56DF" w:rsidRDefault="00117592">
            <w:pPr>
              <w:jc w:val="both"/>
              <w:rPr>
                <w:szCs w:val="24"/>
              </w:rPr>
            </w:pPr>
            <w:r>
              <w:t>Измерение сопротивлений постоянному току,</w:t>
            </w:r>
          </w:p>
        </w:tc>
        <w:tc>
          <w:tcPr>
            <w:tcW w:w="2247" w:type="dxa"/>
            <w:tcBorders>
              <w:left w:val="single" w:sz="4" w:space="0" w:color="auto"/>
              <w:right w:val="single" w:sz="4" w:space="0" w:color="auto"/>
            </w:tcBorders>
            <w:shd w:val="clear" w:color="auto" w:fill="FFFFFF"/>
          </w:tcPr>
          <w:p w:rsidR="00DA56DF" w:rsidRDefault="00117592">
            <w:pPr>
              <w:jc w:val="both"/>
              <w:rPr>
                <w:szCs w:val="24"/>
              </w:rPr>
            </w:pPr>
            <w:r>
              <w:t>от 10</w:t>
            </w:r>
            <w:r>
              <w:rPr>
                <w:vertAlign w:val="superscript"/>
              </w:rPr>
              <w:t>4</w:t>
            </w:r>
            <w:r>
              <w:t xml:space="preserve"> до 10</w:t>
            </w:r>
            <w:r>
              <w:rPr>
                <w:vertAlign w:val="superscript"/>
              </w:rPr>
              <w:t>13</w:t>
            </w:r>
            <w:r>
              <w:t xml:space="preserve"> Ом</w:t>
            </w:r>
          </w:p>
        </w:tc>
      </w:tr>
      <w:tr w:rsidR="00DA56DF">
        <w:tc>
          <w:tcPr>
            <w:tcW w:w="3147" w:type="dxa"/>
            <w:tcBorders>
              <w:left w:val="single" w:sz="4" w:space="0" w:color="auto"/>
              <w:right w:val="single" w:sz="4" w:space="0" w:color="auto"/>
            </w:tcBorders>
            <w:shd w:val="clear" w:color="auto" w:fill="FFFFFF"/>
          </w:tcPr>
          <w:p w:rsidR="00DA56DF" w:rsidRDefault="00DA56DF">
            <w:pPr>
              <w:jc w:val="both"/>
              <w:rPr>
                <w:szCs w:val="24"/>
              </w:rPr>
            </w:pPr>
          </w:p>
        </w:tc>
        <w:tc>
          <w:tcPr>
            <w:tcW w:w="2977" w:type="dxa"/>
            <w:tcBorders>
              <w:left w:val="single" w:sz="4" w:space="0" w:color="auto"/>
              <w:right w:val="single" w:sz="4" w:space="0" w:color="auto"/>
            </w:tcBorders>
            <w:shd w:val="clear" w:color="auto" w:fill="FFFFFF"/>
          </w:tcPr>
          <w:p w:rsidR="00DA56DF" w:rsidRDefault="00117592">
            <w:pPr>
              <w:jc w:val="both"/>
              <w:rPr>
                <w:szCs w:val="24"/>
              </w:rPr>
            </w:pPr>
            <w:r>
              <w:t>Напряжения,</w:t>
            </w:r>
          </w:p>
        </w:tc>
        <w:tc>
          <w:tcPr>
            <w:tcW w:w="2247" w:type="dxa"/>
            <w:tcBorders>
              <w:left w:val="single" w:sz="4" w:space="0" w:color="auto"/>
              <w:right w:val="single" w:sz="4" w:space="0" w:color="auto"/>
            </w:tcBorders>
            <w:shd w:val="clear" w:color="auto" w:fill="FFFFFF"/>
          </w:tcPr>
          <w:p w:rsidR="00DA56DF" w:rsidRDefault="00117592">
            <w:pPr>
              <w:jc w:val="both"/>
              <w:rPr>
                <w:szCs w:val="24"/>
              </w:rPr>
            </w:pPr>
            <w:r>
              <w:t>от 5·10</w:t>
            </w:r>
            <w:r>
              <w:rPr>
                <w:vertAlign w:val="superscript"/>
              </w:rPr>
              <w:sym w:font="Symbol" w:char="F02D"/>
            </w:r>
            <w:r>
              <w:rPr>
                <w:vertAlign w:val="superscript"/>
              </w:rPr>
              <w:t>6</w:t>
            </w:r>
            <w:r>
              <w:t xml:space="preserve"> до 10</w:t>
            </w:r>
            <w:proofErr w:type="gramStart"/>
            <w:r>
              <w:t xml:space="preserve"> В</w:t>
            </w:r>
            <w:proofErr w:type="gramEnd"/>
          </w:p>
        </w:tc>
      </w:tr>
      <w:tr w:rsidR="00DA56DF">
        <w:tc>
          <w:tcPr>
            <w:tcW w:w="3147" w:type="dxa"/>
            <w:tcBorders>
              <w:left w:val="single" w:sz="4" w:space="0" w:color="auto"/>
              <w:right w:val="single" w:sz="4" w:space="0" w:color="auto"/>
            </w:tcBorders>
            <w:shd w:val="clear" w:color="auto" w:fill="FFFFFF"/>
          </w:tcPr>
          <w:p w:rsidR="00DA56DF" w:rsidRDefault="00DA56DF">
            <w:pPr>
              <w:jc w:val="both"/>
              <w:rPr>
                <w:szCs w:val="24"/>
              </w:rPr>
            </w:pPr>
          </w:p>
        </w:tc>
        <w:tc>
          <w:tcPr>
            <w:tcW w:w="2977" w:type="dxa"/>
            <w:tcBorders>
              <w:left w:val="single" w:sz="4" w:space="0" w:color="auto"/>
              <w:right w:val="single" w:sz="4" w:space="0" w:color="auto"/>
            </w:tcBorders>
            <w:shd w:val="clear" w:color="auto" w:fill="FFFFFF"/>
          </w:tcPr>
          <w:p w:rsidR="00DA56DF" w:rsidRDefault="00117592">
            <w:pPr>
              <w:jc w:val="both"/>
              <w:rPr>
                <w:szCs w:val="24"/>
              </w:rPr>
            </w:pPr>
            <w:r>
              <w:t>Тока</w:t>
            </w:r>
          </w:p>
        </w:tc>
        <w:tc>
          <w:tcPr>
            <w:tcW w:w="2247" w:type="dxa"/>
            <w:tcBorders>
              <w:left w:val="single" w:sz="4" w:space="0" w:color="auto"/>
              <w:right w:val="single" w:sz="4" w:space="0" w:color="auto"/>
            </w:tcBorders>
            <w:shd w:val="clear" w:color="auto" w:fill="FFFFFF"/>
          </w:tcPr>
          <w:p w:rsidR="00DA56DF" w:rsidRDefault="00117592">
            <w:pPr>
              <w:jc w:val="both"/>
              <w:rPr>
                <w:bCs/>
                <w:szCs w:val="24"/>
              </w:rPr>
            </w:pPr>
            <w:r>
              <w:rPr>
                <w:bCs/>
              </w:rPr>
              <w:t>от 5·10</w:t>
            </w:r>
            <w:r>
              <w:rPr>
                <w:bCs/>
                <w:vertAlign w:val="superscript"/>
              </w:rPr>
              <w:sym w:font="Symbol" w:char="F02D"/>
            </w:r>
            <w:r>
              <w:rPr>
                <w:bCs/>
                <w:vertAlign w:val="superscript"/>
              </w:rPr>
              <w:t>15</w:t>
            </w:r>
            <w:r>
              <w:rPr>
                <w:bCs/>
              </w:rPr>
              <w:t xml:space="preserve"> до 10</w:t>
            </w:r>
            <w:r>
              <w:rPr>
                <w:bCs/>
                <w:vertAlign w:val="superscript"/>
              </w:rPr>
              <w:sym w:font="Symbol" w:char="F02D"/>
            </w:r>
            <w:r>
              <w:rPr>
                <w:bCs/>
                <w:vertAlign w:val="superscript"/>
              </w:rPr>
              <w:t>6</w:t>
            </w:r>
            <w:proofErr w:type="gramStart"/>
            <w:r>
              <w:rPr>
                <w:bCs/>
              </w:rPr>
              <w:t xml:space="preserve"> А</w:t>
            </w:r>
            <w:proofErr w:type="gramEnd"/>
          </w:p>
        </w:tc>
      </w:tr>
      <w:tr w:rsidR="00DA56DF">
        <w:tc>
          <w:tcPr>
            <w:tcW w:w="3147" w:type="dxa"/>
            <w:tcBorders>
              <w:left w:val="single" w:sz="4" w:space="0" w:color="auto"/>
              <w:bottom w:val="single" w:sz="4" w:space="0" w:color="auto"/>
              <w:right w:val="single" w:sz="4" w:space="0" w:color="auto"/>
            </w:tcBorders>
            <w:shd w:val="clear" w:color="auto" w:fill="FFFFFF"/>
          </w:tcPr>
          <w:p w:rsidR="00DA56DF" w:rsidRDefault="00117592">
            <w:pPr>
              <w:jc w:val="both"/>
              <w:rPr>
                <w:szCs w:val="24"/>
              </w:rPr>
            </w:pPr>
            <w:r>
              <w:t>Измеритель диэлектрических параметров Ш2-11</w:t>
            </w:r>
          </w:p>
        </w:tc>
        <w:tc>
          <w:tcPr>
            <w:tcW w:w="2977" w:type="dxa"/>
            <w:tcBorders>
              <w:left w:val="single" w:sz="4" w:space="0" w:color="auto"/>
              <w:bottom w:val="single" w:sz="4" w:space="0" w:color="auto"/>
              <w:right w:val="single" w:sz="4" w:space="0" w:color="auto"/>
            </w:tcBorders>
            <w:shd w:val="clear" w:color="auto" w:fill="FFFFFF"/>
          </w:tcPr>
          <w:p w:rsidR="00DA56DF" w:rsidRDefault="00117592">
            <w:pPr>
              <w:jc w:val="both"/>
              <w:rPr>
                <w:szCs w:val="24"/>
              </w:rPr>
            </w:pPr>
            <w:r>
              <w:t>Измерение относительной диэлектрической проницаемости, тангенса угла диэлектрических потерь электроизоляционных материалов</w:t>
            </w:r>
          </w:p>
        </w:tc>
        <w:tc>
          <w:tcPr>
            <w:tcW w:w="2247" w:type="dxa"/>
            <w:tcBorders>
              <w:left w:val="single" w:sz="4" w:space="0" w:color="auto"/>
              <w:bottom w:val="single" w:sz="4" w:space="0" w:color="auto"/>
              <w:right w:val="single" w:sz="4" w:space="0" w:color="auto"/>
            </w:tcBorders>
            <w:shd w:val="clear" w:color="auto" w:fill="FFFFFF"/>
          </w:tcPr>
          <w:p w:rsidR="00DA56DF" w:rsidRDefault="00DA56DF">
            <w:pPr>
              <w:jc w:val="both"/>
              <w:rPr>
                <w:szCs w:val="24"/>
              </w:rPr>
            </w:pPr>
          </w:p>
        </w:tc>
      </w:tr>
    </w:tbl>
    <w:p w:rsidR="00DA56DF" w:rsidRDefault="00DA56DF">
      <w:pPr>
        <w:ind w:firstLine="284"/>
        <w:jc w:val="both"/>
      </w:pPr>
    </w:p>
    <w:p w:rsidR="00DA56DF" w:rsidRDefault="00117592">
      <w:pPr>
        <w:ind w:firstLine="284"/>
        <w:jc w:val="center"/>
        <w:rPr>
          <w:b/>
          <w:bCs/>
        </w:rPr>
      </w:pPr>
      <w:r>
        <w:rPr>
          <w:b/>
          <w:bCs/>
        </w:rPr>
        <w:t xml:space="preserve">3. ТРЕБОВАНИЯ И УСТРОЙСТВА </w:t>
      </w:r>
      <w:proofErr w:type="gramStart"/>
      <w:r>
        <w:rPr>
          <w:b/>
          <w:bCs/>
        </w:rPr>
        <w:t>ОБЕСПЕЧЕНИЯ БЕЗОПАСНОСТИ ПОВЫШЕНИЯ СКОРОСТЕЙ НЕФТЕПРОДУКТОВ</w:t>
      </w:r>
      <w:proofErr w:type="gramEnd"/>
      <w:r>
        <w:rPr>
          <w:b/>
          <w:bCs/>
        </w:rPr>
        <w:t xml:space="preserve"> В ТРУБОПРОВОДАХ И ИСТЕЧЕНИЯ ИХ В РЕЗЕРВУАРЫ И ЦИСТЕРНЫ</w:t>
      </w:r>
    </w:p>
    <w:p w:rsidR="00DA56DF" w:rsidRDefault="00DA56DF">
      <w:pPr>
        <w:ind w:firstLine="284"/>
        <w:jc w:val="both"/>
        <w:rPr>
          <w:szCs w:val="24"/>
        </w:rPr>
      </w:pPr>
    </w:p>
    <w:p w:rsidR="00DA56DF" w:rsidRDefault="00117592">
      <w:pPr>
        <w:ind w:firstLine="284"/>
        <w:jc w:val="both"/>
        <w:rPr>
          <w:szCs w:val="24"/>
        </w:rPr>
      </w:pPr>
      <w:r>
        <w:t xml:space="preserve">3.1. Безопасность электризации нефтепродуктов в технологических операциях на предприятиях нефтепродуктообеспечения в целом должна обеспечиваться соблюдением требований </w:t>
      </w:r>
      <w:r w:rsidR="00CD766F">
        <w:t>«</w:t>
      </w:r>
      <w:r>
        <w:t>Правил защиты от статического электричества в производствах химической, нефтехимической и нефтеперерабатывающей промышленности</w:t>
      </w:r>
      <w:r w:rsidR="00CD766F">
        <w:t>»</w:t>
      </w:r>
      <w:r>
        <w:t>.</w:t>
      </w:r>
    </w:p>
    <w:p w:rsidR="00DA56DF" w:rsidRDefault="00117592">
      <w:pPr>
        <w:ind w:firstLine="284"/>
        <w:jc w:val="both"/>
        <w:rPr>
          <w:szCs w:val="24"/>
        </w:rPr>
      </w:pPr>
      <w:r>
        <w:t>3.2. При начальном заполнении порожних резервуаров и цистерн нефтепродукты должны подаваться в них по трубопроводам со скоростью не более 1,0 м/</w:t>
      </w:r>
      <w:proofErr w:type="gramStart"/>
      <w:r>
        <w:t>с</w:t>
      </w:r>
      <w:proofErr w:type="gramEnd"/>
      <w:r>
        <w:t xml:space="preserve"> </w:t>
      </w:r>
      <w:proofErr w:type="gramStart"/>
      <w:r>
        <w:t>до</w:t>
      </w:r>
      <w:proofErr w:type="gramEnd"/>
      <w:r>
        <w:t xml:space="preserve"> затопления приемно-раздаточного патрубка</w:t>
      </w:r>
    </w:p>
    <w:p w:rsidR="00DA56DF" w:rsidRDefault="00117592">
      <w:pPr>
        <w:ind w:firstLine="284"/>
        <w:jc w:val="both"/>
        <w:rPr>
          <w:szCs w:val="24"/>
        </w:rPr>
      </w:pPr>
      <w:r>
        <w:t>3.3. Заполнение резервуаров и цистерн нефтепродуктами с температурой вспышки более +61</w:t>
      </w:r>
      <w:proofErr w:type="gramStart"/>
      <w:r>
        <w:t>°С</w:t>
      </w:r>
      <w:proofErr w:type="gramEnd"/>
      <w:r>
        <w:t xml:space="preserve"> со скоростью истечения до 5,0 м/с является </w:t>
      </w:r>
      <w:proofErr w:type="spellStart"/>
      <w:r>
        <w:t>электростатически</w:t>
      </w:r>
      <w:proofErr w:type="spellEnd"/>
      <w:r>
        <w:t xml:space="preserve"> безопасным.</w:t>
      </w:r>
    </w:p>
    <w:p w:rsidR="00DA56DF" w:rsidRDefault="00117592">
      <w:pPr>
        <w:ind w:firstLine="284"/>
        <w:jc w:val="both"/>
        <w:rPr>
          <w:szCs w:val="24"/>
        </w:rPr>
      </w:pPr>
      <w:r>
        <w:t>3.4. Подача нефтепродуктов в резервуары или цистерны должна осуществляться полным сечением.</w:t>
      </w:r>
    </w:p>
    <w:p w:rsidR="00DA56DF" w:rsidRDefault="00117592">
      <w:pPr>
        <w:ind w:firstLine="284"/>
        <w:jc w:val="both"/>
        <w:rPr>
          <w:szCs w:val="24"/>
        </w:rPr>
      </w:pPr>
      <w:r>
        <w:t>3.5. При необходимости транспортирования нефтепродуктов по трубопроводам и подачи их в резервуары и цистерны со скоростями более доступных, необходимо для обеспечения электростатической безопасности применять нейтрализаторы, релаксационные емкости или устройства обеспечения релаксации зарядов.</w:t>
      </w:r>
    </w:p>
    <w:p w:rsidR="00DA56DF" w:rsidRDefault="00117592">
      <w:pPr>
        <w:ind w:firstLine="284"/>
        <w:jc w:val="both"/>
        <w:rPr>
          <w:szCs w:val="24"/>
        </w:rPr>
      </w:pPr>
      <w:r>
        <w:lastRenderedPageBreak/>
        <w:t xml:space="preserve">3.6. Выбор, конструирование, монтаж и эксплуатацию нейтрализаторов со струнами следует осуществлять в соответствии с РТМ 6-28-008-78 </w:t>
      </w:r>
      <w:r w:rsidR="00CD766F">
        <w:t>«</w:t>
      </w:r>
      <w:r>
        <w:t>Устройства отвода заряда из потока жидкости с протяженными разрядными электродами</w:t>
      </w:r>
      <w:r w:rsidR="00CD766F">
        <w:t>»</w:t>
      </w:r>
      <w:r>
        <w:t>.</w:t>
      </w:r>
    </w:p>
    <w:p w:rsidR="00DA56DF" w:rsidRDefault="00117592">
      <w:pPr>
        <w:ind w:firstLine="284"/>
        <w:jc w:val="both"/>
        <w:rPr>
          <w:szCs w:val="24"/>
        </w:rPr>
      </w:pPr>
      <w:r>
        <w:t>3.7. На рис.2, 3 изображен индукционный нейтрализатор (струнный нейтрализатор) и его кассета со струнами, предназначенные для снижения до безопасного значения плотности заряда нефтепродукта.</w:t>
      </w:r>
    </w:p>
    <w:p w:rsidR="00DA56DF" w:rsidRDefault="00DA56DF">
      <w:pPr>
        <w:ind w:firstLine="284"/>
        <w:jc w:val="both"/>
      </w:pPr>
    </w:p>
    <w:p w:rsidR="00DA56DF" w:rsidRDefault="00117592">
      <w:pPr>
        <w:ind w:firstLine="284"/>
        <w:jc w:val="center"/>
        <w:rPr>
          <w:b/>
          <w:bCs/>
          <w:szCs w:val="38"/>
        </w:rPr>
      </w:pPr>
      <w:r>
        <w:rPr>
          <w:b/>
          <w:bCs/>
          <w:szCs w:val="38"/>
        </w:rPr>
        <w:t>Индукционный нейтрализатор со струнами</w:t>
      </w:r>
    </w:p>
    <w:p w:rsidR="00DA56DF" w:rsidRDefault="00DA56DF">
      <w:pPr>
        <w:ind w:firstLine="284"/>
        <w:jc w:val="both"/>
        <w:rPr>
          <w:szCs w:val="24"/>
        </w:rPr>
      </w:pPr>
    </w:p>
    <w:p w:rsidR="00DA56DF" w:rsidRDefault="00E63CA8">
      <w:pPr>
        <w:jc w:val="center"/>
        <w:rPr>
          <w:szCs w:val="24"/>
        </w:rPr>
      </w:pPr>
      <w:r>
        <w:rPr>
          <w:noProof/>
          <w:szCs w:val="24"/>
        </w:rPr>
        <w:drawing>
          <wp:inline distT="0" distB="0" distL="0" distR="0" wp14:anchorId="4353DFF5" wp14:editId="03C385FC">
            <wp:extent cx="5267325" cy="19621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325" cy="1962150"/>
                    </a:xfrm>
                    <a:prstGeom prst="rect">
                      <a:avLst/>
                    </a:prstGeom>
                    <a:noFill/>
                    <a:ln>
                      <a:noFill/>
                    </a:ln>
                  </pic:spPr>
                </pic:pic>
              </a:graphicData>
            </a:graphic>
          </wp:inline>
        </w:drawing>
      </w:r>
    </w:p>
    <w:p w:rsidR="00DA56DF" w:rsidRDefault="00DA56DF">
      <w:pPr>
        <w:ind w:firstLine="284"/>
        <w:jc w:val="both"/>
        <w:rPr>
          <w:szCs w:val="24"/>
        </w:rPr>
      </w:pPr>
    </w:p>
    <w:p w:rsidR="00DA56DF" w:rsidRDefault="00117592">
      <w:pPr>
        <w:ind w:firstLine="284"/>
        <w:jc w:val="center"/>
        <w:rPr>
          <w:rFonts w:cs="Courier New"/>
          <w:szCs w:val="34"/>
        </w:rPr>
      </w:pPr>
      <w:r>
        <w:rPr>
          <w:rFonts w:cs="Courier New"/>
          <w:i/>
          <w:iCs/>
          <w:szCs w:val="34"/>
        </w:rPr>
        <w:t>1</w:t>
      </w:r>
      <w:r>
        <w:rPr>
          <w:rFonts w:cs="Courier New"/>
          <w:szCs w:val="34"/>
        </w:rPr>
        <w:t xml:space="preserve"> - корпус входного устройства; </w:t>
      </w:r>
      <w:r>
        <w:rPr>
          <w:rFonts w:cs="Courier New"/>
          <w:i/>
          <w:iCs/>
          <w:szCs w:val="34"/>
        </w:rPr>
        <w:t>2</w:t>
      </w:r>
      <w:r>
        <w:rPr>
          <w:rFonts w:cs="Courier New"/>
          <w:szCs w:val="34"/>
        </w:rPr>
        <w:t xml:space="preserve"> - устройство для создания равномерного потока;</w:t>
      </w:r>
    </w:p>
    <w:p w:rsidR="00DA56DF" w:rsidRDefault="00117592">
      <w:pPr>
        <w:ind w:firstLine="284"/>
        <w:jc w:val="center"/>
        <w:rPr>
          <w:szCs w:val="24"/>
        </w:rPr>
      </w:pPr>
      <w:r>
        <w:rPr>
          <w:rFonts w:cs="Courier New"/>
          <w:szCs w:val="34"/>
        </w:rPr>
        <w:t>3 - стальной цилиндрический корпус; 4 - кассета со струнами; 5 - присоединительный патрубок; 6 - рассекатель струи</w:t>
      </w:r>
    </w:p>
    <w:p w:rsidR="00DA56DF" w:rsidRDefault="00DA56DF">
      <w:pPr>
        <w:ind w:firstLine="284"/>
        <w:jc w:val="center"/>
        <w:rPr>
          <w:rFonts w:cs="Courier New"/>
          <w:szCs w:val="34"/>
        </w:rPr>
      </w:pPr>
    </w:p>
    <w:p w:rsidR="00DA56DF" w:rsidRDefault="00117592">
      <w:pPr>
        <w:ind w:firstLine="284"/>
        <w:jc w:val="center"/>
        <w:rPr>
          <w:szCs w:val="24"/>
        </w:rPr>
      </w:pPr>
      <w:r>
        <w:rPr>
          <w:rFonts w:cs="Courier New"/>
          <w:szCs w:val="34"/>
        </w:rPr>
        <w:t>Рис. 2</w:t>
      </w:r>
    </w:p>
    <w:p w:rsidR="00DA56DF" w:rsidRDefault="00DA56DF">
      <w:pPr>
        <w:ind w:firstLine="284"/>
        <w:jc w:val="both"/>
        <w:rPr>
          <w:szCs w:val="36"/>
        </w:rPr>
      </w:pPr>
    </w:p>
    <w:p w:rsidR="00DA56DF" w:rsidRDefault="00117592">
      <w:pPr>
        <w:ind w:firstLine="284"/>
        <w:jc w:val="center"/>
        <w:rPr>
          <w:b/>
          <w:bCs/>
          <w:szCs w:val="36"/>
        </w:rPr>
      </w:pPr>
      <w:r>
        <w:rPr>
          <w:b/>
          <w:bCs/>
          <w:szCs w:val="36"/>
        </w:rPr>
        <w:t>Кассета нейтрализатора со струнами</w:t>
      </w:r>
    </w:p>
    <w:p w:rsidR="00DA56DF" w:rsidRDefault="00DA56DF">
      <w:pPr>
        <w:ind w:firstLine="284"/>
        <w:jc w:val="both"/>
        <w:rPr>
          <w:szCs w:val="24"/>
        </w:rPr>
      </w:pPr>
    </w:p>
    <w:p w:rsidR="00DA56DF" w:rsidRDefault="00E63CA8">
      <w:pPr>
        <w:jc w:val="center"/>
        <w:rPr>
          <w:szCs w:val="24"/>
        </w:rPr>
      </w:pPr>
      <w:r>
        <w:rPr>
          <w:noProof/>
          <w:szCs w:val="24"/>
        </w:rPr>
        <w:drawing>
          <wp:inline distT="0" distB="0" distL="0" distR="0" wp14:anchorId="7EF7CF10" wp14:editId="03CF93B3">
            <wp:extent cx="5095875" cy="1781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95875" cy="1781175"/>
                    </a:xfrm>
                    <a:prstGeom prst="rect">
                      <a:avLst/>
                    </a:prstGeom>
                    <a:noFill/>
                    <a:ln>
                      <a:noFill/>
                    </a:ln>
                  </pic:spPr>
                </pic:pic>
              </a:graphicData>
            </a:graphic>
          </wp:inline>
        </w:drawing>
      </w:r>
    </w:p>
    <w:p w:rsidR="00DA56DF" w:rsidRDefault="00DA56DF">
      <w:pPr>
        <w:ind w:firstLine="284"/>
        <w:jc w:val="both"/>
        <w:rPr>
          <w:szCs w:val="24"/>
        </w:rPr>
      </w:pPr>
    </w:p>
    <w:p w:rsidR="00DA56DF" w:rsidRDefault="00117592">
      <w:pPr>
        <w:ind w:firstLine="284"/>
        <w:jc w:val="center"/>
        <w:rPr>
          <w:szCs w:val="36"/>
        </w:rPr>
      </w:pPr>
      <w:r>
        <w:rPr>
          <w:szCs w:val="36"/>
        </w:rPr>
        <w:t>Рис. 3</w:t>
      </w:r>
    </w:p>
    <w:p w:rsidR="00DA56DF" w:rsidRDefault="00DA56DF">
      <w:pPr>
        <w:ind w:firstLine="284"/>
        <w:jc w:val="both"/>
      </w:pPr>
    </w:p>
    <w:p w:rsidR="00DA56DF" w:rsidRDefault="00117592">
      <w:pPr>
        <w:ind w:firstLine="284"/>
        <w:jc w:val="both"/>
        <w:rPr>
          <w:szCs w:val="24"/>
        </w:rPr>
      </w:pPr>
      <w:r>
        <w:t>Эффективность нейтрализатора со струнами при равномерном потоке в корпусе определяется внутренним диаметром и длиной корпуса, толщиной и длиной струн.</w:t>
      </w:r>
    </w:p>
    <w:p w:rsidR="00DA56DF" w:rsidRDefault="00117592">
      <w:pPr>
        <w:ind w:firstLine="284"/>
        <w:jc w:val="both"/>
        <w:rPr>
          <w:szCs w:val="24"/>
        </w:rPr>
      </w:pPr>
      <w:r>
        <w:t>Толщина струн нейтрализатора должна составлять от 0,06 до 0,1 мм.</w:t>
      </w:r>
    </w:p>
    <w:p w:rsidR="00DA56DF" w:rsidRDefault="00117592">
      <w:pPr>
        <w:ind w:firstLine="284"/>
        <w:jc w:val="both"/>
        <w:rPr>
          <w:szCs w:val="24"/>
        </w:rPr>
      </w:pPr>
      <w:r>
        <w:t xml:space="preserve">Длина струн не должна отличаться от длины корпуса белее, чем на 120 мм, причем один конец каждой струны должен быть закреплен на расстоянии не более 60 мм от стыка между входным устройством и нейтрализатором. Рекомендуется устанавливать семь струн. Одна из них должна располагаться на оси корпуса нейтрализатора остальные натягиваться вдоль оси, </w:t>
      </w:r>
      <w:proofErr w:type="gramStart"/>
      <w:r>
        <w:t>располагаясь на равном расстоянии друг от</w:t>
      </w:r>
      <w:proofErr w:type="gramEnd"/>
      <w:r>
        <w:t xml:space="preserve"> друга по окружности с диаметром, равным половине внутреннего диаметра корпуса с центром на оси корпуса.</w:t>
      </w:r>
    </w:p>
    <w:p w:rsidR="00DA56DF" w:rsidRDefault="00117592">
      <w:pPr>
        <w:ind w:firstLine="284"/>
        <w:jc w:val="both"/>
      </w:pPr>
      <w:r>
        <w:t>3.8. На рис.4 изображен нейтрализатор с иглами, предназначенный для отвода заряда нефтепродукта из его потока в трубопроводе /5/.</w:t>
      </w:r>
    </w:p>
    <w:p w:rsidR="00DA56DF" w:rsidRDefault="00117592">
      <w:pPr>
        <w:ind w:firstLine="284"/>
        <w:jc w:val="both"/>
        <w:rPr>
          <w:szCs w:val="24"/>
        </w:rPr>
      </w:pPr>
      <w:r>
        <w:t>Роль толстых диэлектрических стенок при этом выполняет слой транспортируемого нефтепродукта.</w:t>
      </w:r>
    </w:p>
    <w:p w:rsidR="00DA56DF" w:rsidRDefault="00DA56DF">
      <w:pPr>
        <w:ind w:firstLine="284"/>
        <w:jc w:val="both"/>
      </w:pPr>
    </w:p>
    <w:p w:rsidR="00DA56DF" w:rsidRDefault="00117592">
      <w:pPr>
        <w:ind w:firstLine="284"/>
        <w:jc w:val="center"/>
        <w:rPr>
          <w:b/>
          <w:bCs/>
          <w:szCs w:val="24"/>
        </w:rPr>
      </w:pPr>
      <w:r>
        <w:rPr>
          <w:b/>
          <w:bCs/>
          <w:szCs w:val="24"/>
        </w:rPr>
        <w:t>Индукционный нейтрализатор с иглами</w:t>
      </w:r>
    </w:p>
    <w:p w:rsidR="00DA56DF" w:rsidRDefault="00DA56DF">
      <w:pPr>
        <w:ind w:firstLine="284"/>
        <w:jc w:val="both"/>
        <w:rPr>
          <w:szCs w:val="24"/>
        </w:rPr>
      </w:pPr>
    </w:p>
    <w:p w:rsidR="00DA56DF" w:rsidRDefault="00E63CA8">
      <w:pPr>
        <w:ind w:firstLine="284"/>
        <w:jc w:val="center"/>
        <w:rPr>
          <w:szCs w:val="24"/>
        </w:rPr>
      </w:pPr>
      <w:r>
        <w:rPr>
          <w:noProof/>
          <w:szCs w:val="24"/>
        </w:rPr>
        <w:drawing>
          <wp:inline distT="0" distB="0" distL="0" distR="0" wp14:anchorId="4D61E94E" wp14:editId="404046C7">
            <wp:extent cx="3295650" cy="1771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5650" cy="1771650"/>
                    </a:xfrm>
                    <a:prstGeom prst="rect">
                      <a:avLst/>
                    </a:prstGeom>
                    <a:noFill/>
                    <a:ln>
                      <a:noFill/>
                    </a:ln>
                  </pic:spPr>
                </pic:pic>
              </a:graphicData>
            </a:graphic>
          </wp:inline>
        </w:drawing>
      </w:r>
    </w:p>
    <w:p w:rsidR="00DA56DF" w:rsidRDefault="00DA56DF">
      <w:pPr>
        <w:ind w:firstLine="284"/>
        <w:jc w:val="both"/>
        <w:rPr>
          <w:szCs w:val="24"/>
        </w:rPr>
      </w:pPr>
    </w:p>
    <w:p w:rsidR="00DA56DF" w:rsidRDefault="00117592">
      <w:pPr>
        <w:ind w:firstLine="284"/>
        <w:jc w:val="center"/>
        <w:rPr>
          <w:rFonts w:cs="Courier New"/>
          <w:szCs w:val="36"/>
        </w:rPr>
      </w:pPr>
      <w:r>
        <w:rPr>
          <w:i/>
          <w:iCs/>
          <w:szCs w:val="34"/>
        </w:rPr>
        <w:t>1</w:t>
      </w:r>
      <w:r>
        <w:rPr>
          <w:szCs w:val="34"/>
        </w:rPr>
        <w:t xml:space="preserve"> - диэлектрический вкладыш; </w:t>
      </w:r>
      <w:r>
        <w:rPr>
          <w:rFonts w:cs="Courier New"/>
          <w:i/>
          <w:iCs/>
          <w:szCs w:val="36"/>
        </w:rPr>
        <w:t>2</w:t>
      </w:r>
      <w:r>
        <w:rPr>
          <w:rFonts w:cs="Courier New"/>
          <w:szCs w:val="36"/>
        </w:rPr>
        <w:t xml:space="preserve"> - заземленный заостренный электрод (иглы) - 18 шт.;</w:t>
      </w:r>
    </w:p>
    <w:p w:rsidR="00DA56DF" w:rsidRDefault="00117592">
      <w:pPr>
        <w:ind w:firstLine="284"/>
        <w:jc w:val="center"/>
        <w:rPr>
          <w:szCs w:val="24"/>
        </w:rPr>
      </w:pPr>
      <w:r>
        <w:rPr>
          <w:rFonts w:cs="Courier New"/>
          <w:i/>
          <w:iCs/>
          <w:szCs w:val="36"/>
        </w:rPr>
        <w:t>3</w:t>
      </w:r>
      <w:r>
        <w:rPr>
          <w:rFonts w:cs="Courier New"/>
          <w:szCs w:val="36"/>
        </w:rPr>
        <w:t xml:space="preserve"> - присоединительный патрубок; </w:t>
      </w:r>
      <w:r>
        <w:rPr>
          <w:rFonts w:cs="Courier New"/>
          <w:i/>
          <w:iCs/>
          <w:szCs w:val="36"/>
        </w:rPr>
        <w:t>4</w:t>
      </w:r>
      <w:r>
        <w:rPr>
          <w:rFonts w:cs="Courier New"/>
          <w:szCs w:val="36"/>
        </w:rPr>
        <w:t xml:space="preserve"> - фланцевое соединение; 5 - стальной корпус</w:t>
      </w:r>
    </w:p>
    <w:p w:rsidR="00DA56DF" w:rsidRDefault="00DA56DF">
      <w:pPr>
        <w:ind w:firstLine="284"/>
        <w:jc w:val="both"/>
        <w:rPr>
          <w:szCs w:val="36"/>
        </w:rPr>
      </w:pPr>
    </w:p>
    <w:p w:rsidR="00DA56DF" w:rsidRDefault="00117592">
      <w:pPr>
        <w:ind w:firstLine="284"/>
        <w:jc w:val="center"/>
        <w:rPr>
          <w:szCs w:val="24"/>
        </w:rPr>
      </w:pPr>
      <w:r>
        <w:rPr>
          <w:szCs w:val="36"/>
        </w:rPr>
        <w:t>Рис. 4</w:t>
      </w:r>
    </w:p>
    <w:p w:rsidR="00DA56DF" w:rsidRDefault="00DA56DF">
      <w:pPr>
        <w:ind w:firstLine="284"/>
        <w:jc w:val="both"/>
        <w:rPr>
          <w:szCs w:val="24"/>
        </w:rPr>
      </w:pPr>
    </w:p>
    <w:p w:rsidR="00DA56DF" w:rsidRDefault="00117592">
      <w:pPr>
        <w:ind w:firstLine="284"/>
        <w:jc w:val="both"/>
        <w:rPr>
          <w:szCs w:val="24"/>
        </w:rPr>
      </w:pPr>
      <w:r>
        <w:t>В стенках корпуса закреплены игольчатые электроды, заостренные концы которых достигают ядра потока нефтепродукта.</w:t>
      </w:r>
    </w:p>
    <w:p w:rsidR="00DA56DF" w:rsidRDefault="00117592">
      <w:pPr>
        <w:ind w:firstLine="284"/>
        <w:jc w:val="both"/>
        <w:rPr>
          <w:szCs w:val="24"/>
        </w:rPr>
      </w:pPr>
      <w:r>
        <w:t>Эффективность нейтрализатора достигается при условии</w:t>
      </w:r>
    </w:p>
    <w:p w:rsidR="00DA56DF" w:rsidRDefault="008550AE">
      <w:pPr>
        <w:ind w:firstLine="284"/>
        <w:jc w:val="right"/>
        <w:rPr>
          <w:szCs w:val="24"/>
        </w:rPr>
      </w:pPr>
      <w:r>
        <w:rPr>
          <w:position w:val="-28"/>
          <w:szCs w:val="42"/>
        </w:rPr>
        <w:pict>
          <v:shape id="_x0000_i1025" type="#_x0000_t75" style="width:48pt;height:33pt">
            <v:imagedata r:id="rId15" o:title=""/>
          </v:shape>
        </w:pict>
      </w:r>
      <w:r w:rsidR="00117592">
        <w:rPr>
          <w:szCs w:val="42"/>
        </w:rPr>
        <w:t>,                                                                 (4)</w:t>
      </w:r>
    </w:p>
    <w:p w:rsidR="00DA56DF" w:rsidRDefault="00117592">
      <w:pPr>
        <w:jc w:val="both"/>
        <w:rPr>
          <w:szCs w:val="24"/>
        </w:rPr>
      </w:pPr>
      <w:r>
        <w:t xml:space="preserve">где </w:t>
      </w:r>
      <w:proofErr w:type="spellStart"/>
      <w:r>
        <w:t>Д</w:t>
      </w:r>
      <w:r>
        <w:rPr>
          <w:vertAlign w:val="subscript"/>
        </w:rPr>
        <w:t>в</w:t>
      </w:r>
      <w:proofErr w:type="spellEnd"/>
      <w:r>
        <w:t xml:space="preserve"> - внутренний диаметр нейтрализатора, </w:t>
      </w:r>
      <w:proofErr w:type="gramStart"/>
      <w:r>
        <w:t>м</w:t>
      </w:r>
      <w:proofErr w:type="gramEnd"/>
      <w:r>
        <w:t>;</w:t>
      </w:r>
    </w:p>
    <w:p w:rsidR="00DA56DF" w:rsidRDefault="00117592">
      <w:pPr>
        <w:ind w:firstLine="284"/>
        <w:jc w:val="both"/>
        <w:rPr>
          <w:szCs w:val="24"/>
        </w:rPr>
      </w:pPr>
      <w:proofErr w:type="gramStart"/>
      <w:r>
        <w:rPr>
          <w:i/>
          <w:iCs/>
          <w:lang w:val="en-US"/>
        </w:rPr>
        <w:t>q</w:t>
      </w:r>
      <w:proofErr w:type="spellStart"/>
      <w:r>
        <w:rPr>
          <w:vertAlign w:val="subscript"/>
        </w:rPr>
        <w:t>вх</w:t>
      </w:r>
      <w:proofErr w:type="spellEnd"/>
      <w:proofErr w:type="gramEnd"/>
      <w:r>
        <w:t xml:space="preserve"> - плотность заряда нефтепродукта на входе в нейтрализатор, </w:t>
      </w:r>
      <w:proofErr w:type="spellStart"/>
      <w:r>
        <w:t>мкКл</w:t>
      </w:r>
      <w:proofErr w:type="spellEnd"/>
      <w:r>
        <w:t>/м</w:t>
      </w:r>
      <w:r>
        <w:rPr>
          <w:vertAlign w:val="superscript"/>
        </w:rPr>
        <w:t>3</w:t>
      </w:r>
      <w:r>
        <w:t>.</w:t>
      </w:r>
    </w:p>
    <w:p w:rsidR="00DA56DF" w:rsidRDefault="00117592">
      <w:pPr>
        <w:ind w:firstLine="284"/>
        <w:jc w:val="both"/>
        <w:rPr>
          <w:szCs w:val="24"/>
        </w:rPr>
      </w:pPr>
      <w:proofErr w:type="gramStart"/>
      <w:r>
        <w:t>Длину игольчатых электродов следует принимать равной радиусу корпуса нейтрализатора, чтобы острие располагалось на оси нейтрализатора.</w:t>
      </w:r>
      <w:proofErr w:type="gramEnd"/>
    </w:p>
    <w:p w:rsidR="00DA56DF" w:rsidRDefault="00117592">
      <w:pPr>
        <w:ind w:firstLine="284"/>
        <w:jc w:val="both"/>
        <w:rPr>
          <w:szCs w:val="24"/>
        </w:rPr>
      </w:pPr>
      <w:r>
        <w:t xml:space="preserve">В каждом сечении устанавливается один электрод. Расстояние между сечениями с электродами должно быть от 0,25 до 0,4 м. В каждом следующем сечении электрод располагается в </w:t>
      </w:r>
      <w:proofErr w:type="gramStart"/>
      <w:r>
        <w:t>направлении</w:t>
      </w:r>
      <w:proofErr w:type="gramEnd"/>
      <w:r>
        <w:t xml:space="preserve"> составляющем угол 120° с предыдущим. Число сечений с электродами должно быть не менее 3-4, </w:t>
      </w:r>
      <w:r>
        <w:rPr>
          <w:lang w:val="en-US"/>
        </w:rPr>
        <w:t>a</w:t>
      </w:r>
      <w:r>
        <w:t xml:space="preserve"> длина корпуса соответственно 1-2 м, в зависимости от расстояния между сечениями.</w:t>
      </w:r>
    </w:p>
    <w:p w:rsidR="00DA56DF" w:rsidRDefault="00117592">
      <w:pPr>
        <w:ind w:firstLine="284"/>
        <w:jc w:val="both"/>
        <w:rPr>
          <w:szCs w:val="24"/>
        </w:rPr>
      </w:pPr>
      <w:r>
        <w:t>3.9. Релаксационная емкость также предназначена для снижения плотности заряда нефтепродукта на входе из трубопровода в резервуар.</w:t>
      </w:r>
    </w:p>
    <w:p w:rsidR="00DA56DF" w:rsidRDefault="00117592">
      <w:pPr>
        <w:ind w:firstLine="284"/>
        <w:jc w:val="both"/>
        <w:rPr>
          <w:szCs w:val="24"/>
        </w:rPr>
      </w:pPr>
      <w:r>
        <w:t>Релаксационная емкость представляет собой цилиндрическое устройство, диаметр которого в 2-3 раза более диаметра технологического трубопровода, с переходом на входе трубопровода в резервуар (рис.5).</w:t>
      </w:r>
    </w:p>
    <w:p w:rsidR="00DA56DF" w:rsidRDefault="00117592">
      <w:pPr>
        <w:ind w:firstLine="284"/>
        <w:jc w:val="both"/>
        <w:rPr>
          <w:szCs w:val="24"/>
        </w:rPr>
      </w:pPr>
      <w:proofErr w:type="gramStart"/>
      <w:r>
        <w:t>Корпус входного конического перехода может быть устроен симметричным или асимметричным (рис.6, 7).</w:t>
      </w:r>
      <w:proofErr w:type="gramEnd"/>
    </w:p>
    <w:p w:rsidR="00DA56DF" w:rsidRDefault="00117592">
      <w:pPr>
        <w:ind w:firstLine="284"/>
        <w:jc w:val="both"/>
      </w:pPr>
      <w:r>
        <w:t xml:space="preserve">Входной переход содержит рассекатель струи и направляющие пластины, изготовленные из листовой стали толщиной 1,5-3, </w:t>
      </w:r>
      <w:proofErr w:type="spellStart"/>
      <w:r>
        <w:t>Ом·</w:t>
      </w:r>
      <w:proofErr w:type="gramStart"/>
      <w:r>
        <w:t>м</w:t>
      </w:r>
      <w:proofErr w:type="spellEnd"/>
      <w:proofErr w:type="gramEnd"/>
      <w:r>
        <w:t>.</w:t>
      </w:r>
    </w:p>
    <w:p w:rsidR="00DA56DF" w:rsidRDefault="00117592">
      <w:pPr>
        <w:ind w:firstLine="284"/>
        <w:jc w:val="both"/>
        <w:rPr>
          <w:szCs w:val="24"/>
        </w:rPr>
      </w:pPr>
      <w:r>
        <w:t>Выходной конический переход' должен иметь аналогичную входному переходу конструкцию, но без рассекателя и направляющих пластин.</w:t>
      </w:r>
    </w:p>
    <w:p w:rsidR="00DA56DF" w:rsidRDefault="00117592">
      <w:pPr>
        <w:ind w:firstLine="284"/>
        <w:jc w:val="both"/>
      </w:pPr>
      <w:r>
        <w:t>Схема установки релаксационной емкости показана на рис. 8.</w:t>
      </w:r>
    </w:p>
    <w:p w:rsidR="00DA56DF" w:rsidRDefault="00117592">
      <w:pPr>
        <w:ind w:firstLine="284"/>
        <w:jc w:val="center"/>
        <w:rPr>
          <w:b/>
          <w:bCs/>
          <w:szCs w:val="36"/>
        </w:rPr>
      </w:pPr>
      <w:r>
        <w:rPr>
          <w:szCs w:val="24"/>
        </w:rPr>
        <w:br w:type="page"/>
      </w:r>
      <w:r>
        <w:rPr>
          <w:b/>
          <w:bCs/>
          <w:szCs w:val="36"/>
        </w:rPr>
        <w:lastRenderedPageBreak/>
        <w:t>Релаксационная емкость</w:t>
      </w:r>
    </w:p>
    <w:p w:rsidR="00DA56DF" w:rsidRDefault="00DA56DF">
      <w:pPr>
        <w:ind w:firstLine="284"/>
        <w:jc w:val="both"/>
        <w:rPr>
          <w:szCs w:val="24"/>
        </w:rPr>
      </w:pPr>
    </w:p>
    <w:p w:rsidR="00DA56DF" w:rsidRDefault="00E63CA8">
      <w:pPr>
        <w:jc w:val="center"/>
        <w:rPr>
          <w:szCs w:val="24"/>
        </w:rPr>
      </w:pPr>
      <w:r>
        <w:rPr>
          <w:noProof/>
          <w:szCs w:val="24"/>
        </w:rPr>
        <w:drawing>
          <wp:inline distT="0" distB="0" distL="0" distR="0" wp14:anchorId="05AA7BB8" wp14:editId="7858EB47">
            <wp:extent cx="5095875" cy="2009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95875" cy="2009775"/>
                    </a:xfrm>
                    <a:prstGeom prst="rect">
                      <a:avLst/>
                    </a:prstGeom>
                    <a:noFill/>
                    <a:ln>
                      <a:noFill/>
                    </a:ln>
                  </pic:spPr>
                </pic:pic>
              </a:graphicData>
            </a:graphic>
          </wp:inline>
        </w:drawing>
      </w:r>
    </w:p>
    <w:p w:rsidR="00DA56DF" w:rsidRDefault="00DA56DF">
      <w:pPr>
        <w:ind w:firstLine="284"/>
        <w:jc w:val="center"/>
        <w:rPr>
          <w:szCs w:val="24"/>
        </w:rPr>
      </w:pPr>
    </w:p>
    <w:p w:rsidR="00DA56DF" w:rsidRDefault="00117592">
      <w:pPr>
        <w:ind w:firstLine="284"/>
        <w:jc w:val="center"/>
        <w:rPr>
          <w:szCs w:val="24"/>
        </w:rPr>
      </w:pPr>
      <w:r>
        <w:rPr>
          <w:rFonts w:cs="Courier New"/>
          <w:i/>
          <w:iCs/>
          <w:szCs w:val="36"/>
        </w:rPr>
        <w:t>1</w:t>
      </w:r>
      <w:r>
        <w:rPr>
          <w:rFonts w:cs="Courier New"/>
          <w:szCs w:val="36"/>
        </w:rPr>
        <w:t xml:space="preserve"> - присоединительный патрубок; </w:t>
      </w:r>
      <w:r>
        <w:rPr>
          <w:rFonts w:cs="Courier New"/>
          <w:i/>
          <w:iCs/>
          <w:szCs w:val="36"/>
        </w:rPr>
        <w:t>2</w:t>
      </w:r>
      <w:r>
        <w:rPr>
          <w:rFonts w:cs="Courier New"/>
          <w:szCs w:val="36"/>
        </w:rPr>
        <w:t xml:space="preserve"> - входной конический переход; </w:t>
      </w:r>
      <w:r>
        <w:rPr>
          <w:rFonts w:cs="Courier New"/>
          <w:i/>
          <w:iCs/>
          <w:szCs w:val="36"/>
        </w:rPr>
        <w:t>3</w:t>
      </w:r>
      <w:r>
        <w:rPr>
          <w:rFonts w:cs="Courier New"/>
          <w:szCs w:val="36"/>
        </w:rPr>
        <w:t xml:space="preserve"> - цилиндрический корпус; </w:t>
      </w:r>
      <w:r>
        <w:rPr>
          <w:rFonts w:cs="Courier New"/>
          <w:i/>
          <w:iCs/>
          <w:szCs w:val="36"/>
        </w:rPr>
        <w:t>4</w:t>
      </w:r>
      <w:r>
        <w:rPr>
          <w:rFonts w:cs="Courier New"/>
          <w:szCs w:val="36"/>
        </w:rPr>
        <w:t xml:space="preserve"> - выходной конический переход; </w:t>
      </w:r>
      <w:r>
        <w:rPr>
          <w:rFonts w:cs="Courier New"/>
          <w:i/>
          <w:iCs/>
          <w:szCs w:val="36"/>
        </w:rPr>
        <w:t>5</w:t>
      </w:r>
      <w:r>
        <w:rPr>
          <w:rFonts w:cs="Courier New"/>
          <w:szCs w:val="36"/>
        </w:rPr>
        <w:t xml:space="preserve"> - рассекатель затопленной струи</w:t>
      </w:r>
    </w:p>
    <w:p w:rsidR="00DA56DF" w:rsidRDefault="00DA56DF">
      <w:pPr>
        <w:ind w:firstLine="284"/>
        <w:jc w:val="center"/>
        <w:rPr>
          <w:szCs w:val="36"/>
        </w:rPr>
      </w:pPr>
    </w:p>
    <w:p w:rsidR="00DA56DF" w:rsidRDefault="00117592">
      <w:pPr>
        <w:ind w:firstLine="284"/>
        <w:jc w:val="center"/>
        <w:rPr>
          <w:szCs w:val="36"/>
        </w:rPr>
      </w:pPr>
      <w:r>
        <w:rPr>
          <w:szCs w:val="36"/>
        </w:rPr>
        <w:t>Рис.5</w:t>
      </w:r>
    </w:p>
    <w:p w:rsidR="00DA56DF" w:rsidRDefault="00DA56DF">
      <w:pPr>
        <w:ind w:firstLine="284"/>
        <w:jc w:val="both"/>
        <w:rPr>
          <w:szCs w:val="24"/>
        </w:rPr>
      </w:pPr>
    </w:p>
    <w:p w:rsidR="00DA56DF" w:rsidRDefault="00117592">
      <w:pPr>
        <w:ind w:firstLine="284"/>
        <w:jc w:val="center"/>
        <w:rPr>
          <w:b/>
          <w:bCs/>
          <w:szCs w:val="44"/>
        </w:rPr>
      </w:pPr>
      <w:r>
        <w:rPr>
          <w:b/>
          <w:bCs/>
          <w:szCs w:val="44"/>
        </w:rPr>
        <w:t>Симметричный конический переход</w:t>
      </w:r>
    </w:p>
    <w:p w:rsidR="00DA56DF" w:rsidRDefault="00DA56DF">
      <w:pPr>
        <w:ind w:firstLine="284"/>
        <w:jc w:val="both"/>
        <w:rPr>
          <w:szCs w:val="24"/>
        </w:rPr>
      </w:pPr>
    </w:p>
    <w:p w:rsidR="00DA56DF" w:rsidRDefault="00E63CA8">
      <w:pPr>
        <w:rPr>
          <w:szCs w:val="24"/>
        </w:rPr>
      </w:pPr>
      <w:r>
        <w:rPr>
          <w:noProof/>
          <w:szCs w:val="24"/>
        </w:rPr>
        <w:drawing>
          <wp:inline distT="0" distB="0" distL="0" distR="0" wp14:anchorId="0646EDCB" wp14:editId="6A1D46E8">
            <wp:extent cx="5276850" cy="37623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6850" cy="3762375"/>
                    </a:xfrm>
                    <a:prstGeom prst="rect">
                      <a:avLst/>
                    </a:prstGeom>
                    <a:noFill/>
                    <a:ln>
                      <a:noFill/>
                    </a:ln>
                  </pic:spPr>
                </pic:pic>
              </a:graphicData>
            </a:graphic>
          </wp:inline>
        </w:drawing>
      </w:r>
    </w:p>
    <w:p w:rsidR="00DA56DF" w:rsidRDefault="00DA56DF">
      <w:pPr>
        <w:jc w:val="center"/>
        <w:rPr>
          <w:szCs w:val="24"/>
        </w:rPr>
      </w:pPr>
    </w:p>
    <w:p w:rsidR="00DA56DF" w:rsidRDefault="00117592">
      <w:pPr>
        <w:ind w:firstLine="284"/>
        <w:jc w:val="center"/>
        <w:rPr>
          <w:szCs w:val="24"/>
        </w:rPr>
      </w:pPr>
      <w:r>
        <w:rPr>
          <w:i/>
          <w:iCs/>
          <w:szCs w:val="24"/>
        </w:rPr>
        <w:t>1</w:t>
      </w:r>
      <w:r>
        <w:rPr>
          <w:szCs w:val="24"/>
        </w:rPr>
        <w:t xml:space="preserve"> - рассекатель; </w:t>
      </w:r>
      <w:r>
        <w:rPr>
          <w:i/>
          <w:iCs/>
          <w:szCs w:val="24"/>
        </w:rPr>
        <w:t>2</w:t>
      </w:r>
      <w:r>
        <w:rPr>
          <w:szCs w:val="24"/>
        </w:rPr>
        <w:t xml:space="preserve"> - боковые направляющие пластины; </w:t>
      </w:r>
      <w:r>
        <w:rPr>
          <w:i/>
          <w:iCs/>
          <w:szCs w:val="24"/>
        </w:rPr>
        <w:t>3</w:t>
      </w:r>
      <w:r>
        <w:rPr>
          <w:szCs w:val="24"/>
        </w:rPr>
        <w:t xml:space="preserve"> - средняя направляющая пластина</w:t>
      </w:r>
    </w:p>
    <w:p w:rsidR="00DA56DF" w:rsidRDefault="00DA56DF">
      <w:pPr>
        <w:ind w:firstLine="284"/>
        <w:jc w:val="both"/>
        <w:rPr>
          <w:szCs w:val="32"/>
        </w:rPr>
      </w:pPr>
    </w:p>
    <w:p w:rsidR="00DA56DF" w:rsidRDefault="00117592">
      <w:pPr>
        <w:ind w:firstLine="284"/>
        <w:jc w:val="center"/>
        <w:rPr>
          <w:szCs w:val="32"/>
        </w:rPr>
      </w:pPr>
      <w:r>
        <w:rPr>
          <w:szCs w:val="32"/>
        </w:rPr>
        <w:t>Рис.6</w:t>
      </w:r>
    </w:p>
    <w:p w:rsidR="00DA56DF" w:rsidRDefault="00117592">
      <w:pPr>
        <w:ind w:firstLine="284"/>
        <w:jc w:val="center"/>
        <w:rPr>
          <w:b/>
          <w:bCs/>
          <w:szCs w:val="52"/>
        </w:rPr>
      </w:pPr>
      <w:r>
        <w:rPr>
          <w:szCs w:val="24"/>
        </w:rPr>
        <w:br w:type="page"/>
      </w:r>
      <w:r>
        <w:rPr>
          <w:b/>
          <w:bCs/>
          <w:szCs w:val="52"/>
        </w:rPr>
        <w:lastRenderedPageBreak/>
        <w:t>Асимметричный конический переход</w:t>
      </w:r>
    </w:p>
    <w:p w:rsidR="00DA56DF" w:rsidRDefault="00DA56DF">
      <w:pPr>
        <w:ind w:firstLine="284"/>
        <w:jc w:val="both"/>
        <w:rPr>
          <w:szCs w:val="24"/>
        </w:rPr>
      </w:pPr>
    </w:p>
    <w:p w:rsidR="00DA56DF" w:rsidRDefault="00E63CA8">
      <w:pPr>
        <w:jc w:val="center"/>
        <w:rPr>
          <w:szCs w:val="24"/>
        </w:rPr>
      </w:pPr>
      <w:r>
        <w:rPr>
          <w:noProof/>
          <w:szCs w:val="24"/>
        </w:rPr>
        <w:drawing>
          <wp:inline distT="0" distB="0" distL="0" distR="0" wp14:anchorId="00361B09" wp14:editId="36B7D933">
            <wp:extent cx="5267325" cy="38481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7325" cy="3848100"/>
                    </a:xfrm>
                    <a:prstGeom prst="rect">
                      <a:avLst/>
                    </a:prstGeom>
                    <a:noFill/>
                    <a:ln>
                      <a:noFill/>
                    </a:ln>
                  </pic:spPr>
                </pic:pic>
              </a:graphicData>
            </a:graphic>
          </wp:inline>
        </w:drawing>
      </w:r>
    </w:p>
    <w:p w:rsidR="00DA56DF" w:rsidRDefault="00DA56DF">
      <w:pPr>
        <w:ind w:firstLine="284"/>
        <w:jc w:val="both"/>
        <w:rPr>
          <w:szCs w:val="24"/>
        </w:rPr>
      </w:pPr>
    </w:p>
    <w:p w:rsidR="00DA56DF" w:rsidRDefault="00117592">
      <w:pPr>
        <w:ind w:firstLine="284"/>
        <w:jc w:val="center"/>
        <w:rPr>
          <w:szCs w:val="24"/>
        </w:rPr>
      </w:pPr>
      <w:r>
        <w:rPr>
          <w:i/>
          <w:iCs/>
        </w:rPr>
        <w:t>1</w:t>
      </w:r>
      <w:r>
        <w:t xml:space="preserve"> - рассекатель; </w:t>
      </w:r>
      <w:r>
        <w:rPr>
          <w:i/>
          <w:iCs/>
        </w:rPr>
        <w:t>2</w:t>
      </w:r>
      <w:r>
        <w:t xml:space="preserve"> - средняя направляющая пластина; </w:t>
      </w:r>
      <w:r>
        <w:rPr>
          <w:i/>
          <w:iCs/>
        </w:rPr>
        <w:t>3</w:t>
      </w:r>
      <w:r>
        <w:t xml:space="preserve"> - боковые направляющие пластины</w:t>
      </w:r>
    </w:p>
    <w:p w:rsidR="00DA56DF" w:rsidRDefault="00DA56DF">
      <w:pPr>
        <w:ind w:firstLine="284"/>
        <w:jc w:val="center"/>
        <w:rPr>
          <w:szCs w:val="32"/>
        </w:rPr>
      </w:pPr>
    </w:p>
    <w:p w:rsidR="00DA56DF" w:rsidRDefault="00117592">
      <w:pPr>
        <w:ind w:firstLine="284"/>
        <w:jc w:val="center"/>
        <w:rPr>
          <w:szCs w:val="32"/>
        </w:rPr>
      </w:pPr>
      <w:r>
        <w:rPr>
          <w:szCs w:val="32"/>
        </w:rPr>
        <w:t>Рис.7</w:t>
      </w:r>
    </w:p>
    <w:p w:rsidR="00DA56DF" w:rsidRDefault="00DA56DF">
      <w:pPr>
        <w:ind w:firstLine="284"/>
        <w:jc w:val="center"/>
        <w:rPr>
          <w:szCs w:val="24"/>
        </w:rPr>
      </w:pPr>
    </w:p>
    <w:p w:rsidR="00DA56DF" w:rsidRDefault="00117592">
      <w:pPr>
        <w:ind w:firstLine="284"/>
        <w:jc w:val="center"/>
        <w:rPr>
          <w:b/>
          <w:bCs/>
          <w:szCs w:val="36"/>
        </w:rPr>
      </w:pPr>
      <w:r>
        <w:rPr>
          <w:b/>
          <w:bCs/>
          <w:szCs w:val="36"/>
        </w:rPr>
        <w:t>Схема установки релаксационной емкости</w:t>
      </w:r>
    </w:p>
    <w:p w:rsidR="00DA56DF" w:rsidRDefault="00DA56DF">
      <w:pPr>
        <w:ind w:firstLine="284"/>
        <w:jc w:val="both"/>
        <w:rPr>
          <w:szCs w:val="24"/>
        </w:rPr>
      </w:pPr>
    </w:p>
    <w:p w:rsidR="00DA56DF" w:rsidRDefault="00E63CA8">
      <w:pPr>
        <w:ind w:firstLine="284"/>
        <w:jc w:val="center"/>
        <w:rPr>
          <w:szCs w:val="24"/>
        </w:rPr>
      </w:pPr>
      <w:r>
        <w:rPr>
          <w:noProof/>
          <w:szCs w:val="24"/>
        </w:rPr>
        <w:drawing>
          <wp:inline distT="0" distB="0" distL="0" distR="0" wp14:anchorId="46144475" wp14:editId="129316F2">
            <wp:extent cx="4533900" cy="1162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33900" cy="1162050"/>
                    </a:xfrm>
                    <a:prstGeom prst="rect">
                      <a:avLst/>
                    </a:prstGeom>
                    <a:noFill/>
                    <a:ln>
                      <a:noFill/>
                    </a:ln>
                  </pic:spPr>
                </pic:pic>
              </a:graphicData>
            </a:graphic>
          </wp:inline>
        </w:drawing>
      </w:r>
    </w:p>
    <w:p w:rsidR="00DA56DF" w:rsidRDefault="00DA56DF">
      <w:pPr>
        <w:ind w:firstLine="284"/>
        <w:jc w:val="center"/>
        <w:rPr>
          <w:szCs w:val="36"/>
        </w:rPr>
      </w:pPr>
    </w:p>
    <w:p w:rsidR="00DA56DF" w:rsidRDefault="00117592">
      <w:pPr>
        <w:ind w:firstLine="284"/>
        <w:jc w:val="center"/>
        <w:rPr>
          <w:szCs w:val="24"/>
        </w:rPr>
      </w:pPr>
      <w:r>
        <w:rPr>
          <w:szCs w:val="36"/>
        </w:rPr>
        <w:t>Рис.8</w:t>
      </w:r>
    </w:p>
    <w:p w:rsidR="00DA56DF" w:rsidRDefault="00DA56DF">
      <w:pPr>
        <w:ind w:firstLine="284"/>
        <w:jc w:val="center"/>
        <w:rPr>
          <w:szCs w:val="24"/>
        </w:rPr>
      </w:pPr>
    </w:p>
    <w:p w:rsidR="00DA56DF" w:rsidRDefault="00117592">
      <w:pPr>
        <w:ind w:firstLine="284"/>
        <w:jc w:val="both"/>
        <w:rPr>
          <w:szCs w:val="24"/>
        </w:rPr>
      </w:pPr>
      <w:r>
        <w:t>3.10. При необходимости транспортирования нефтепродукта по трубопроводу со скоростью, превышающей не более</w:t>
      </w:r>
      <w:proofErr w:type="gramStart"/>
      <w:r>
        <w:t>,</w:t>
      </w:r>
      <w:proofErr w:type="gramEnd"/>
      <w:r>
        <w:t xml:space="preserve"> чем вдвое допустимую, диаметр релаксационной емкости выбирают двукратным по отношению к диаметру технологического трубопровода. Длину релаксационной емкости следует определять по формуле:</w:t>
      </w:r>
    </w:p>
    <w:p w:rsidR="00DA56DF" w:rsidRDefault="00117592">
      <w:pPr>
        <w:ind w:firstLine="284"/>
        <w:jc w:val="right"/>
      </w:pPr>
      <w:r>
        <w:rPr>
          <w:i/>
          <w:iCs/>
          <w:lang w:val="en-US"/>
        </w:rPr>
        <w:t>L</w:t>
      </w:r>
      <w:r>
        <w:rPr>
          <w:vertAlign w:val="subscript"/>
        </w:rPr>
        <w:t>р</w:t>
      </w:r>
      <w:r>
        <w:t xml:space="preserve"> = 3</w:t>
      </w:r>
      <w:proofErr w:type="gramStart"/>
      <w:r>
        <w:t>,1</w:t>
      </w:r>
      <w:proofErr w:type="gramEnd"/>
      <w:r>
        <w:t xml:space="preserve"> · 10</w:t>
      </w:r>
      <w:r>
        <w:rPr>
          <w:vertAlign w:val="superscript"/>
        </w:rPr>
        <w:sym w:font="Symbol" w:char="F02D"/>
      </w:r>
      <w:r>
        <w:rPr>
          <w:vertAlign w:val="superscript"/>
        </w:rPr>
        <w:t>12</w:t>
      </w:r>
      <w:r>
        <w:t xml:space="preserve"> · </w:t>
      </w:r>
      <w:r>
        <w:sym w:font="Symbol" w:char="F075"/>
      </w:r>
      <w:r>
        <w:t xml:space="preserve"> · </w:t>
      </w:r>
      <w:r>
        <w:sym w:font="Symbol" w:char="F072"/>
      </w:r>
      <w:r>
        <w:rPr>
          <w:i/>
          <w:iCs/>
          <w:vertAlign w:val="subscript"/>
          <w:lang w:val="en-US"/>
        </w:rPr>
        <w:t>v</w:t>
      </w:r>
      <w:r>
        <w:t>,                                                           (5)</w:t>
      </w:r>
    </w:p>
    <w:p w:rsidR="00DA56DF" w:rsidRDefault="00117592">
      <w:pPr>
        <w:jc w:val="both"/>
        <w:rPr>
          <w:szCs w:val="24"/>
        </w:rPr>
      </w:pPr>
      <w:r>
        <w:t xml:space="preserve">где </w:t>
      </w:r>
      <w:r>
        <w:sym w:font="Symbol" w:char="F075"/>
      </w:r>
      <w:r>
        <w:t xml:space="preserve"> - скорость нефтепродукта, м/</w:t>
      </w:r>
      <w:proofErr w:type="gramStart"/>
      <w:r>
        <w:t>с</w:t>
      </w:r>
      <w:proofErr w:type="gramEnd"/>
      <w:r>
        <w:t>;</w:t>
      </w:r>
    </w:p>
    <w:p w:rsidR="00DA56DF" w:rsidRDefault="00117592">
      <w:pPr>
        <w:ind w:firstLine="284"/>
        <w:jc w:val="both"/>
        <w:rPr>
          <w:szCs w:val="24"/>
        </w:rPr>
      </w:pPr>
      <w:r>
        <w:sym w:font="Symbol" w:char="F072"/>
      </w:r>
      <w:r>
        <w:rPr>
          <w:i/>
          <w:iCs/>
          <w:vertAlign w:val="subscript"/>
          <w:lang w:val="en-US"/>
        </w:rPr>
        <w:t>v</w:t>
      </w:r>
      <w:r>
        <w:rPr>
          <w:szCs w:val="14"/>
        </w:rPr>
        <w:t xml:space="preserve"> - </w:t>
      </w:r>
      <w:proofErr w:type="gramStart"/>
      <w:r>
        <w:rPr>
          <w:szCs w:val="14"/>
        </w:rPr>
        <w:t>удельное</w:t>
      </w:r>
      <w:proofErr w:type="gramEnd"/>
      <w:r>
        <w:rPr>
          <w:szCs w:val="14"/>
        </w:rPr>
        <w:t xml:space="preserve"> объемное электрическое сопротивление нефтепродукта, </w:t>
      </w:r>
      <w:proofErr w:type="spellStart"/>
      <w:r>
        <w:rPr>
          <w:szCs w:val="14"/>
        </w:rPr>
        <w:t>Ом·м</w:t>
      </w:r>
      <w:proofErr w:type="spellEnd"/>
      <w:r>
        <w:rPr>
          <w:szCs w:val="14"/>
        </w:rPr>
        <w:t>;</w:t>
      </w:r>
    </w:p>
    <w:p w:rsidR="00DA56DF" w:rsidRDefault="00117592">
      <w:pPr>
        <w:ind w:firstLine="284"/>
        <w:jc w:val="both"/>
        <w:rPr>
          <w:szCs w:val="24"/>
        </w:rPr>
      </w:pPr>
      <w:r>
        <w:t>Минимальная длина релаксационной емкости должна быть не менее 1 м.</w:t>
      </w:r>
    </w:p>
    <w:p w:rsidR="00DA56DF" w:rsidRDefault="00117592">
      <w:pPr>
        <w:ind w:firstLine="284"/>
        <w:jc w:val="both"/>
        <w:rPr>
          <w:szCs w:val="24"/>
        </w:rPr>
      </w:pPr>
      <w:r>
        <w:t>3.11. Установка релаксационных емкостей при наливе автомобильных и железнодорожных цистерн не рекомендуется из-за их значительных размеров.</w:t>
      </w:r>
    </w:p>
    <w:p w:rsidR="00DA56DF" w:rsidRDefault="00117592">
      <w:pPr>
        <w:ind w:firstLine="284"/>
        <w:jc w:val="both"/>
        <w:rPr>
          <w:szCs w:val="24"/>
        </w:rPr>
      </w:pPr>
      <w:r>
        <w:t>В этих случаях рекомендуется использование нейтрализаторов статического электричества или устройств обеспечения релаксации заряда.</w:t>
      </w:r>
    </w:p>
    <w:p w:rsidR="00DA56DF" w:rsidRDefault="00117592">
      <w:pPr>
        <w:ind w:firstLine="284"/>
        <w:jc w:val="both"/>
      </w:pPr>
      <w:r>
        <w:t xml:space="preserve">3.12. Устройство </w:t>
      </w:r>
      <w:proofErr w:type="gramStart"/>
      <w:r>
        <w:t>обеспечении</w:t>
      </w:r>
      <w:proofErr w:type="gramEnd"/>
      <w:r>
        <w:t xml:space="preserve"> релаксации зарядов, изображенное на рис. 9, предназначено для снижения до безопасного значения плотности заряда в приповерхностном слое </w:t>
      </w:r>
      <w:r>
        <w:lastRenderedPageBreak/>
        <w:t>нефтепродукта во время истечения его из патрубка в емкость.</w:t>
      </w:r>
    </w:p>
    <w:p w:rsidR="00DA56DF" w:rsidRDefault="00DA56DF">
      <w:pPr>
        <w:ind w:firstLine="284"/>
        <w:jc w:val="both"/>
      </w:pPr>
    </w:p>
    <w:p w:rsidR="00DA56DF" w:rsidRDefault="00117592">
      <w:pPr>
        <w:ind w:firstLine="284"/>
        <w:jc w:val="center"/>
        <w:rPr>
          <w:b/>
          <w:bCs/>
        </w:rPr>
      </w:pPr>
      <w:r>
        <w:rPr>
          <w:b/>
          <w:bCs/>
        </w:rPr>
        <w:t>Схема устройства для обеспечения релаксации электростатического заряда</w:t>
      </w:r>
    </w:p>
    <w:p w:rsidR="00DA56DF" w:rsidRDefault="00DA56DF">
      <w:pPr>
        <w:ind w:firstLine="284"/>
        <w:jc w:val="both"/>
      </w:pPr>
    </w:p>
    <w:p w:rsidR="00DA56DF" w:rsidRDefault="00E63CA8">
      <w:pPr>
        <w:ind w:firstLine="284"/>
        <w:jc w:val="center"/>
      </w:pPr>
      <w:r>
        <w:rPr>
          <w:noProof/>
        </w:rPr>
        <w:drawing>
          <wp:inline distT="0" distB="0" distL="0" distR="0" wp14:anchorId="2FE3FE9B" wp14:editId="58AB5F17">
            <wp:extent cx="3038475" cy="54483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38475" cy="5448300"/>
                    </a:xfrm>
                    <a:prstGeom prst="rect">
                      <a:avLst/>
                    </a:prstGeom>
                    <a:noFill/>
                    <a:ln>
                      <a:noFill/>
                    </a:ln>
                  </pic:spPr>
                </pic:pic>
              </a:graphicData>
            </a:graphic>
          </wp:inline>
        </w:drawing>
      </w:r>
    </w:p>
    <w:p w:rsidR="00DA56DF" w:rsidRDefault="00DA56DF">
      <w:pPr>
        <w:ind w:firstLine="284"/>
        <w:jc w:val="both"/>
        <w:rPr>
          <w:szCs w:val="34"/>
        </w:rPr>
      </w:pPr>
    </w:p>
    <w:p w:rsidR="00DA56DF" w:rsidRDefault="00117592">
      <w:pPr>
        <w:ind w:firstLine="284"/>
        <w:jc w:val="center"/>
        <w:rPr>
          <w:szCs w:val="24"/>
        </w:rPr>
      </w:pPr>
      <w:r>
        <w:rPr>
          <w:i/>
          <w:iCs/>
          <w:szCs w:val="34"/>
        </w:rPr>
        <w:t>1</w:t>
      </w:r>
      <w:r>
        <w:rPr>
          <w:szCs w:val="34"/>
        </w:rPr>
        <w:t xml:space="preserve"> - корпус; </w:t>
      </w:r>
      <w:r>
        <w:rPr>
          <w:i/>
          <w:iCs/>
          <w:szCs w:val="34"/>
        </w:rPr>
        <w:t>2</w:t>
      </w:r>
      <w:r>
        <w:rPr>
          <w:szCs w:val="34"/>
        </w:rPr>
        <w:t xml:space="preserve"> - ограничители хода поплавка; </w:t>
      </w:r>
      <w:r>
        <w:rPr>
          <w:i/>
          <w:iCs/>
          <w:szCs w:val="34"/>
        </w:rPr>
        <w:t>3</w:t>
      </w:r>
      <w:r>
        <w:rPr>
          <w:szCs w:val="34"/>
        </w:rPr>
        <w:t xml:space="preserve"> - дно; </w:t>
      </w:r>
      <w:r>
        <w:rPr>
          <w:i/>
          <w:iCs/>
          <w:szCs w:val="34"/>
        </w:rPr>
        <w:t>4</w:t>
      </w:r>
      <w:r>
        <w:rPr>
          <w:szCs w:val="34"/>
        </w:rPr>
        <w:t xml:space="preserve"> - поплавок; </w:t>
      </w:r>
      <w:r>
        <w:rPr>
          <w:i/>
          <w:iCs/>
          <w:szCs w:val="34"/>
        </w:rPr>
        <w:t>5</w:t>
      </w:r>
      <w:r>
        <w:rPr>
          <w:szCs w:val="34"/>
        </w:rPr>
        <w:t xml:space="preserve"> - конус</w:t>
      </w:r>
    </w:p>
    <w:p w:rsidR="00DA56DF" w:rsidRDefault="00DA56DF">
      <w:pPr>
        <w:ind w:firstLine="284"/>
        <w:jc w:val="both"/>
        <w:rPr>
          <w:szCs w:val="24"/>
        </w:rPr>
      </w:pPr>
    </w:p>
    <w:p w:rsidR="00DA56DF" w:rsidRDefault="00117592">
      <w:pPr>
        <w:ind w:firstLine="284"/>
        <w:jc w:val="center"/>
        <w:rPr>
          <w:szCs w:val="24"/>
        </w:rPr>
      </w:pPr>
      <w:r>
        <w:rPr>
          <w:szCs w:val="24"/>
        </w:rPr>
        <w:t>Рис. 9</w:t>
      </w:r>
    </w:p>
    <w:p w:rsidR="00DA56DF" w:rsidRDefault="00DA56DF">
      <w:pPr>
        <w:ind w:firstLine="284"/>
        <w:jc w:val="both"/>
        <w:rPr>
          <w:szCs w:val="24"/>
        </w:rPr>
      </w:pPr>
    </w:p>
    <w:p w:rsidR="00DA56DF" w:rsidRDefault="00117592">
      <w:pPr>
        <w:ind w:firstLine="284"/>
        <w:jc w:val="both"/>
        <w:rPr>
          <w:szCs w:val="24"/>
        </w:rPr>
      </w:pPr>
      <w:r>
        <w:t>Устройство должно изготавливаться и применяться в соответствии с требованиями документации, разработанной ВНИИТБХП /7/.</w:t>
      </w:r>
    </w:p>
    <w:p w:rsidR="00DA56DF" w:rsidRDefault="00117592">
      <w:pPr>
        <w:ind w:firstLine="284"/>
        <w:jc w:val="both"/>
        <w:rPr>
          <w:szCs w:val="24"/>
        </w:rPr>
      </w:pPr>
      <w:r>
        <w:t>Устройство обеспечения релаксации заряда представляет собой насадок с глухим торцом и одним вырезом в боковой стенке, ширина которого составляет 0,2 - 0,3 периметра поперечного сечения в корпусе.</w:t>
      </w:r>
    </w:p>
    <w:p w:rsidR="00DA56DF" w:rsidRDefault="00117592">
      <w:pPr>
        <w:ind w:firstLine="284"/>
        <w:jc w:val="both"/>
        <w:rPr>
          <w:szCs w:val="24"/>
        </w:rPr>
      </w:pPr>
      <w:r>
        <w:t>Снаружи на корпус надет кольцевой поплавок с юбкой.</w:t>
      </w:r>
    </w:p>
    <w:p w:rsidR="00DA56DF" w:rsidRDefault="00117592">
      <w:pPr>
        <w:ind w:firstLine="284"/>
        <w:jc w:val="both"/>
        <w:rPr>
          <w:szCs w:val="24"/>
        </w:rPr>
      </w:pPr>
      <w:r>
        <w:t xml:space="preserve">Внутри корпуса закрепляется диффузор </w:t>
      </w:r>
      <w:proofErr w:type="spellStart"/>
      <w:r>
        <w:t>Вентури</w:t>
      </w:r>
      <w:proofErr w:type="spellEnd"/>
      <w:r>
        <w:t>, нижний конец которого отсекает нижнюю часть выреза.</w:t>
      </w:r>
    </w:p>
    <w:p w:rsidR="00DA56DF" w:rsidRDefault="00117592">
      <w:pPr>
        <w:ind w:firstLine="284"/>
        <w:jc w:val="both"/>
        <w:rPr>
          <w:szCs w:val="24"/>
        </w:rPr>
      </w:pPr>
      <w:r>
        <w:t xml:space="preserve">Действие устройства основано на снижении плотности </w:t>
      </w:r>
      <w:proofErr w:type="gramStart"/>
      <w:r>
        <w:t>заряда</w:t>
      </w:r>
      <w:proofErr w:type="gramEnd"/>
      <w:r>
        <w:t xml:space="preserve"> за счет ограничения распространения затопленной струи нефтепродукта таким образом, чтобы исключить ее распространение в направлении, где путь выхода на поверхность минимален.</w:t>
      </w:r>
    </w:p>
    <w:p w:rsidR="00DA56DF" w:rsidRDefault="00117592">
      <w:pPr>
        <w:ind w:firstLine="284"/>
        <w:jc w:val="right"/>
        <w:rPr>
          <w:i/>
          <w:iCs/>
          <w:szCs w:val="24"/>
        </w:rPr>
      </w:pPr>
      <w:r>
        <w:rPr>
          <w:szCs w:val="24"/>
        </w:rPr>
        <w:br w:type="page"/>
      </w:r>
      <w:r>
        <w:rPr>
          <w:i/>
          <w:iCs/>
          <w:szCs w:val="24"/>
        </w:rPr>
        <w:lastRenderedPageBreak/>
        <w:t>ПРИЛОЖЕНИЕ 1</w:t>
      </w:r>
    </w:p>
    <w:p w:rsidR="00DA56DF" w:rsidRDefault="00DA56DF">
      <w:pPr>
        <w:ind w:firstLine="284"/>
        <w:jc w:val="both"/>
        <w:rPr>
          <w:szCs w:val="24"/>
        </w:rPr>
      </w:pPr>
    </w:p>
    <w:p w:rsidR="00DA56DF" w:rsidRDefault="00117592">
      <w:pPr>
        <w:ind w:firstLine="284"/>
        <w:jc w:val="center"/>
        <w:rPr>
          <w:b/>
          <w:bCs/>
        </w:rPr>
      </w:pPr>
      <w:r>
        <w:rPr>
          <w:b/>
          <w:bCs/>
        </w:rPr>
        <w:t>СПИСОК ИСПОЛЬЗОВАННЫХ ИСТОЧНИКОВ</w:t>
      </w:r>
    </w:p>
    <w:p w:rsidR="00DA56DF" w:rsidRDefault="00DA56DF">
      <w:pPr>
        <w:ind w:firstLine="284"/>
        <w:jc w:val="both"/>
        <w:rPr>
          <w:szCs w:val="24"/>
        </w:rPr>
      </w:pPr>
    </w:p>
    <w:p w:rsidR="00DA56DF" w:rsidRDefault="00117592">
      <w:pPr>
        <w:ind w:firstLine="284"/>
        <w:jc w:val="both"/>
        <w:rPr>
          <w:szCs w:val="24"/>
        </w:rPr>
      </w:pPr>
      <w:r>
        <w:t>1. Правила защиты от статического электричества в производствах химической, нефтехимической и нефтеперерабатывающей промышленности, М, изд. Химия, 1972 г.</w:t>
      </w:r>
    </w:p>
    <w:p w:rsidR="00DA56DF" w:rsidRDefault="00117592">
      <w:pPr>
        <w:ind w:firstLine="284"/>
        <w:jc w:val="both"/>
        <w:rPr>
          <w:szCs w:val="24"/>
        </w:rPr>
      </w:pPr>
      <w:r>
        <w:t>2. ГОСТ 6581-75 Материалы электроизоляционные жидкие. Методы электрических испытаний.</w:t>
      </w:r>
    </w:p>
    <w:p w:rsidR="00DA56DF" w:rsidRDefault="00117592">
      <w:pPr>
        <w:ind w:firstLine="284"/>
        <w:jc w:val="both"/>
        <w:rPr>
          <w:szCs w:val="24"/>
        </w:rPr>
      </w:pPr>
      <w:r>
        <w:t>3. РТМ 6-28-008-78 Устройство отвода заряда из потока жидкости с протяженными разрядными электродами (нейтрализаторы со струнами), г. Северодонецк, 1978 г.</w:t>
      </w:r>
    </w:p>
    <w:p w:rsidR="00DA56DF" w:rsidRDefault="00117592">
      <w:pPr>
        <w:ind w:firstLine="284"/>
        <w:jc w:val="both"/>
        <w:rPr>
          <w:szCs w:val="24"/>
        </w:rPr>
      </w:pPr>
      <w:r>
        <w:t>4. Временная инструкция по определению минимальной энергии зажигания парогазовых смесей (№ 10-70), М, 1969 г.</w:t>
      </w:r>
    </w:p>
    <w:p w:rsidR="00DA56DF" w:rsidRDefault="00117592">
      <w:pPr>
        <w:ind w:firstLine="284"/>
        <w:jc w:val="both"/>
        <w:rPr>
          <w:szCs w:val="24"/>
        </w:rPr>
      </w:pPr>
      <w:r>
        <w:t>5. Методы инженерных расчетов средств отвода заряда из потока жидкости, М, 1978 г.</w:t>
      </w:r>
    </w:p>
    <w:p w:rsidR="00DA56DF" w:rsidRDefault="00117592">
      <w:pPr>
        <w:ind w:firstLine="284"/>
        <w:jc w:val="both"/>
        <w:rPr>
          <w:szCs w:val="24"/>
        </w:rPr>
      </w:pPr>
      <w:r>
        <w:t>6. Методы расчета минимальной энергии зажигания бинарных и многокомпонентных смесей органических веществ в воздухе при нормальной и повышенной температуре, г. Северодонецк, 1977 г.</w:t>
      </w:r>
    </w:p>
    <w:p w:rsidR="00DA56DF" w:rsidRDefault="00117592">
      <w:pPr>
        <w:ind w:firstLine="284"/>
        <w:jc w:val="both"/>
        <w:rPr>
          <w:szCs w:val="24"/>
        </w:rPr>
      </w:pPr>
      <w:r>
        <w:t>7. Устройство обеспечения релаксации заряда. Техническое описание и временная инструкция по эксплуатации, ВНИИТБХП, 1984 г.</w:t>
      </w:r>
    </w:p>
    <w:p w:rsidR="00CD766F" w:rsidRDefault="00CD766F">
      <w:pPr>
        <w:widowControl/>
        <w:autoSpaceDE/>
        <w:autoSpaceDN/>
        <w:adjustRightInd/>
        <w:rPr>
          <w:i/>
          <w:iCs/>
          <w:szCs w:val="32"/>
        </w:rPr>
      </w:pPr>
      <w:r>
        <w:rPr>
          <w:i/>
          <w:iCs/>
          <w:szCs w:val="32"/>
        </w:rPr>
        <w:br w:type="page"/>
      </w:r>
    </w:p>
    <w:p w:rsidR="00DA56DF" w:rsidRDefault="00117592">
      <w:pPr>
        <w:ind w:firstLine="284"/>
        <w:jc w:val="right"/>
        <w:rPr>
          <w:i/>
          <w:iCs/>
          <w:szCs w:val="32"/>
        </w:rPr>
      </w:pPr>
      <w:r>
        <w:rPr>
          <w:i/>
          <w:iCs/>
          <w:szCs w:val="32"/>
        </w:rPr>
        <w:lastRenderedPageBreak/>
        <w:t>ПРИЛОЖЕНИЕ 2</w:t>
      </w:r>
    </w:p>
    <w:p w:rsidR="00DA56DF" w:rsidRDefault="00DA56DF">
      <w:pPr>
        <w:ind w:firstLine="284"/>
        <w:jc w:val="both"/>
        <w:rPr>
          <w:szCs w:val="32"/>
        </w:rPr>
      </w:pPr>
    </w:p>
    <w:p w:rsidR="00DA56DF" w:rsidRDefault="00117592">
      <w:pPr>
        <w:ind w:firstLine="284"/>
        <w:jc w:val="center"/>
        <w:rPr>
          <w:b/>
          <w:bCs/>
          <w:szCs w:val="42"/>
        </w:rPr>
      </w:pPr>
      <w:r>
        <w:rPr>
          <w:b/>
          <w:bCs/>
          <w:szCs w:val="32"/>
        </w:rPr>
        <w:t>МИНИМАЛЬНАЯ ЭНЕРГИЯ ЗАЖИГАНИЯ ПАРОВОЗДУШНЫХ СМЕСЕЙ НЕФТЕПРОДУКТОВ ПРИ РАЗЛИЧНЫХ ТЕМПЕРАТУРАХ</w:t>
      </w:r>
    </w:p>
    <w:p w:rsidR="00DA56DF" w:rsidRDefault="00DA56DF">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2736"/>
        <w:gridCol w:w="1131"/>
        <w:gridCol w:w="1359"/>
        <w:gridCol w:w="880"/>
        <w:gridCol w:w="993"/>
        <w:gridCol w:w="1272"/>
      </w:tblGrid>
      <w:tr w:rsidR="00DA56DF">
        <w:trPr>
          <w:cantSplit/>
        </w:trPr>
        <w:tc>
          <w:tcPr>
            <w:tcW w:w="2736" w:type="dxa"/>
            <w:vMerge w:val="restart"/>
            <w:tcBorders>
              <w:top w:val="single" w:sz="4" w:space="0" w:color="auto"/>
              <w:left w:val="single" w:sz="4" w:space="0" w:color="auto"/>
              <w:right w:val="single" w:sz="4" w:space="0" w:color="auto"/>
            </w:tcBorders>
            <w:shd w:val="clear" w:color="auto" w:fill="FFFFFF"/>
            <w:vAlign w:val="center"/>
          </w:tcPr>
          <w:p w:rsidR="00DA56DF" w:rsidRDefault="00117592">
            <w:pPr>
              <w:jc w:val="center"/>
              <w:rPr>
                <w:szCs w:val="24"/>
              </w:rPr>
            </w:pPr>
            <w:r>
              <w:t>Наименование нефтепродукта</w:t>
            </w:r>
          </w:p>
        </w:tc>
        <w:tc>
          <w:tcPr>
            <w:tcW w:w="4363" w:type="dxa"/>
            <w:gridSpan w:val="4"/>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минимальная энергия зажигания (</w:t>
            </w:r>
            <w:proofErr w:type="gramStart"/>
            <w:r>
              <w:t>Дж</w:t>
            </w:r>
            <w:proofErr w:type="gramEnd"/>
            <w:r>
              <w:t xml:space="preserve"> · 10</w:t>
            </w:r>
            <w:r>
              <w:rPr>
                <w:vertAlign w:val="superscript"/>
              </w:rPr>
              <w:sym w:font="Symbol" w:char="F02D"/>
            </w:r>
            <w:r>
              <w:rPr>
                <w:vertAlign w:val="superscript"/>
              </w:rPr>
              <w:t>3</w:t>
            </w:r>
            <w:r>
              <w:t>)</w:t>
            </w:r>
          </w:p>
        </w:tc>
        <w:tc>
          <w:tcPr>
            <w:tcW w:w="1272" w:type="dxa"/>
            <w:vMerge w:val="restart"/>
            <w:tcBorders>
              <w:top w:val="single" w:sz="4" w:space="0" w:color="auto"/>
              <w:left w:val="single" w:sz="4" w:space="0" w:color="auto"/>
              <w:right w:val="single" w:sz="4" w:space="0" w:color="auto"/>
            </w:tcBorders>
            <w:shd w:val="clear" w:color="auto" w:fill="FFFFFF"/>
            <w:vAlign w:val="center"/>
          </w:tcPr>
          <w:p w:rsidR="00DA56DF" w:rsidRDefault="00117592">
            <w:pPr>
              <w:jc w:val="center"/>
              <w:rPr>
                <w:szCs w:val="24"/>
              </w:rPr>
            </w:pPr>
            <w:r>
              <w:rPr>
                <w:szCs w:val="32"/>
              </w:rPr>
              <w:t>Примечание</w:t>
            </w:r>
          </w:p>
        </w:tc>
      </w:tr>
      <w:tr w:rsidR="00DA56DF">
        <w:trPr>
          <w:cantSplit/>
        </w:trPr>
        <w:tc>
          <w:tcPr>
            <w:tcW w:w="2736" w:type="dxa"/>
            <w:vMerge/>
            <w:tcBorders>
              <w:left w:val="single" w:sz="4" w:space="0" w:color="auto"/>
              <w:bottom w:val="single" w:sz="6" w:space="0" w:color="auto"/>
              <w:right w:val="single" w:sz="4" w:space="0" w:color="auto"/>
            </w:tcBorders>
            <w:shd w:val="clear" w:color="auto" w:fill="FFFFFF"/>
            <w:vAlign w:val="center"/>
          </w:tcPr>
          <w:p w:rsidR="00DA56DF" w:rsidRDefault="00DA56DF">
            <w:pPr>
              <w:jc w:val="center"/>
              <w:rPr>
                <w:szCs w:val="24"/>
              </w:rPr>
            </w:pPr>
          </w:p>
        </w:tc>
        <w:tc>
          <w:tcPr>
            <w:tcW w:w="1131" w:type="dxa"/>
            <w:tcBorders>
              <w:top w:val="single" w:sz="6"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25</w:t>
            </w:r>
            <w:proofErr w:type="gramStart"/>
            <w:r>
              <w:t>°С</w:t>
            </w:r>
            <w:proofErr w:type="gramEnd"/>
          </w:p>
        </w:tc>
        <w:tc>
          <w:tcPr>
            <w:tcW w:w="1359" w:type="dxa"/>
            <w:tcBorders>
              <w:top w:val="single" w:sz="6"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35</w:t>
            </w:r>
            <w:proofErr w:type="gramStart"/>
            <w:r>
              <w:t>°С</w:t>
            </w:r>
            <w:proofErr w:type="gramEnd"/>
          </w:p>
        </w:tc>
        <w:tc>
          <w:tcPr>
            <w:tcW w:w="880" w:type="dxa"/>
            <w:tcBorders>
              <w:top w:val="single" w:sz="6"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50</w:t>
            </w:r>
            <w:proofErr w:type="gramStart"/>
            <w:r>
              <w:t>°С</w:t>
            </w:r>
            <w:proofErr w:type="gramEnd"/>
          </w:p>
        </w:tc>
        <w:tc>
          <w:tcPr>
            <w:tcW w:w="993" w:type="dxa"/>
            <w:tcBorders>
              <w:top w:val="single" w:sz="6"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60</w:t>
            </w:r>
            <w:proofErr w:type="gramStart"/>
            <w:r>
              <w:t>°С</w:t>
            </w:r>
            <w:proofErr w:type="gramEnd"/>
          </w:p>
        </w:tc>
        <w:tc>
          <w:tcPr>
            <w:tcW w:w="1272" w:type="dxa"/>
            <w:vMerge/>
            <w:tcBorders>
              <w:left w:val="single" w:sz="4" w:space="0" w:color="auto"/>
              <w:bottom w:val="single" w:sz="6" w:space="0" w:color="auto"/>
              <w:right w:val="single" w:sz="4" w:space="0" w:color="auto"/>
            </w:tcBorders>
            <w:shd w:val="clear" w:color="auto" w:fill="FFFFFF"/>
            <w:vAlign w:val="center"/>
          </w:tcPr>
          <w:p w:rsidR="00DA56DF" w:rsidRDefault="00DA56DF">
            <w:pPr>
              <w:jc w:val="center"/>
              <w:rPr>
                <w:szCs w:val="24"/>
              </w:rPr>
            </w:pPr>
          </w:p>
        </w:tc>
      </w:tr>
      <w:tr w:rsidR="00DA56DF">
        <w:trPr>
          <w:cantSplit/>
        </w:trPr>
        <w:tc>
          <w:tcPr>
            <w:tcW w:w="2736" w:type="dxa"/>
            <w:tcBorders>
              <w:top w:val="single" w:sz="6" w:space="0" w:color="auto"/>
              <w:left w:val="single" w:sz="4" w:space="0" w:color="auto"/>
              <w:right w:val="single" w:sz="4" w:space="0" w:color="auto"/>
            </w:tcBorders>
            <w:shd w:val="clear" w:color="auto" w:fill="FFFFFF"/>
          </w:tcPr>
          <w:p w:rsidR="00DA56DF" w:rsidRDefault="00117592">
            <w:pPr>
              <w:jc w:val="both"/>
              <w:rPr>
                <w:szCs w:val="24"/>
              </w:rPr>
            </w:pPr>
            <w:r>
              <w:t>Бензин автомобильный А-76</w:t>
            </w:r>
          </w:p>
        </w:tc>
        <w:tc>
          <w:tcPr>
            <w:tcW w:w="1131" w:type="dxa"/>
            <w:tcBorders>
              <w:top w:val="single" w:sz="6" w:space="0" w:color="auto"/>
              <w:left w:val="single" w:sz="4" w:space="0" w:color="auto"/>
              <w:right w:val="single" w:sz="4" w:space="0" w:color="auto"/>
            </w:tcBorders>
            <w:shd w:val="clear" w:color="auto" w:fill="FFFFFF"/>
          </w:tcPr>
          <w:p w:rsidR="00DA56DF" w:rsidRDefault="00117592">
            <w:pPr>
              <w:jc w:val="center"/>
              <w:rPr>
                <w:szCs w:val="24"/>
              </w:rPr>
            </w:pPr>
            <w:r>
              <w:rPr>
                <w:szCs w:val="32"/>
              </w:rPr>
              <w:t>0,358</w:t>
            </w:r>
          </w:p>
        </w:tc>
        <w:tc>
          <w:tcPr>
            <w:tcW w:w="1359" w:type="dxa"/>
            <w:tcBorders>
              <w:top w:val="single" w:sz="6" w:space="0" w:color="auto"/>
              <w:left w:val="single" w:sz="4" w:space="0" w:color="auto"/>
              <w:right w:val="single" w:sz="4" w:space="0" w:color="auto"/>
            </w:tcBorders>
            <w:shd w:val="clear" w:color="auto" w:fill="FFFFFF"/>
          </w:tcPr>
          <w:p w:rsidR="00DA56DF" w:rsidRDefault="00117592">
            <w:pPr>
              <w:jc w:val="center"/>
              <w:rPr>
                <w:szCs w:val="24"/>
              </w:rPr>
            </w:pPr>
            <w:r>
              <w:rPr>
                <w:szCs w:val="32"/>
              </w:rPr>
              <w:t>0,260</w:t>
            </w:r>
          </w:p>
        </w:tc>
        <w:tc>
          <w:tcPr>
            <w:tcW w:w="880" w:type="dxa"/>
            <w:tcBorders>
              <w:top w:val="single" w:sz="6" w:space="0" w:color="auto"/>
              <w:left w:val="single" w:sz="4" w:space="0" w:color="auto"/>
              <w:right w:val="single" w:sz="4" w:space="0" w:color="auto"/>
            </w:tcBorders>
            <w:shd w:val="clear" w:color="auto" w:fill="FFFFFF"/>
          </w:tcPr>
          <w:p w:rsidR="00DA56DF" w:rsidRDefault="00117592">
            <w:pPr>
              <w:jc w:val="center"/>
              <w:rPr>
                <w:szCs w:val="24"/>
              </w:rPr>
            </w:pPr>
            <w:r>
              <w:rPr>
                <w:szCs w:val="32"/>
              </w:rPr>
              <w:t>0,210</w:t>
            </w:r>
          </w:p>
        </w:tc>
        <w:tc>
          <w:tcPr>
            <w:tcW w:w="993" w:type="dxa"/>
            <w:tcBorders>
              <w:top w:val="single" w:sz="6" w:space="0" w:color="auto"/>
              <w:left w:val="single" w:sz="4" w:space="0" w:color="auto"/>
              <w:right w:val="single" w:sz="4" w:space="0" w:color="auto"/>
            </w:tcBorders>
            <w:shd w:val="clear" w:color="auto" w:fill="FFFFFF"/>
          </w:tcPr>
          <w:p w:rsidR="00DA56DF" w:rsidRDefault="00117592">
            <w:pPr>
              <w:jc w:val="center"/>
              <w:rPr>
                <w:szCs w:val="24"/>
              </w:rPr>
            </w:pPr>
            <w:r>
              <w:rPr>
                <w:szCs w:val="32"/>
              </w:rPr>
              <w:t>0,207</w:t>
            </w:r>
          </w:p>
        </w:tc>
        <w:tc>
          <w:tcPr>
            <w:tcW w:w="1272" w:type="dxa"/>
            <w:vMerge w:val="restart"/>
            <w:tcBorders>
              <w:top w:val="single" w:sz="6" w:space="0" w:color="auto"/>
              <w:left w:val="single" w:sz="4" w:space="0" w:color="auto"/>
              <w:right w:val="single" w:sz="4" w:space="0" w:color="auto"/>
            </w:tcBorders>
            <w:shd w:val="clear" w:color="auto" w:fill="FFFFFF"/>
            <w:vAlign w:val="center"/>
          </w:tcPr>
          <w:p w:rsidR="00DA56DF" w:rsidRDefault="00117592">
            <w:pPr>
              <w:jc w:val="both"/>
              <w:rPr>
                <w:szCs w:val="24"/>
              </w:rPr>
            </w:pPr>
            <w:r>
              <w:rPr>
                <w:szCs w:val="32"/>
              </w:rPr>
              <w:t>Определены ВНИЙТБХП</w:t>
            </w:r>
          </w:p>
        </w:tc>
      </w:tr>
      <w:tr w:rsidR="00DA56DF">
        <w:trPr>
          <w:cantSplit/>
        </w:trPr>
        <w:tc>
          <w:tcPr>
            <w:tcW w:w="2736" w:type="dxa"/>
            <w:tcBorders>
              <w:left w:val="single" w:sz="4" w:space="0" w:color="auto"/>
              <w:right w:val="single" w:sz="4" w:space="0" w:color="auto"/>
            </w:tcBorders>
            <w:shd w:val="clear" w:color="auto" w:fill="FFFFFF"/>
          </w:tcPr>
          <w:p w:rsidR="00DA56DF" w:rsidRDefault="00117592">
            <w:pPr>
              <w:jc w:val="both"/>
              <w:rPr>
                <w:szCs w:val="24"/>
              </w:rPr>
            </w:pPr>
            <w:r>
              <w:t>Бензин автомобильный АИ-93</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32"/>
              </w:rPr>
              <w:t>0,348</w:t>
            </w:r>
          </w:p>
        </w:tc>
        <w:tc>
          <w:tcPr>
            <w:tcW w:w="1359" w:type="dxa"/>
            <w:tcBorders>
              <w:left w:val="single" w:sz="4" w:space="0" w:color="auto"/>
              <w:right w:val="single" w:sz="4" w:space="0" w:color="auto"/>
            </w:tcBorders>
            <w:shd w:val="clear" w:color="auto" w:fill="FFFFFF"/>
          </w:tcPr>
          <w:p w:rsidR="00DA56DF" w:rsidRDefault="00117592">
            <w:pPr>
              <w:jc w:val="center"/>
              <w:rPr>
                <w:szCs w:val="24"/>
              </w:rPr>
            </w:pPr>
            <w:r>
              <w:rPr>
                <w:szCs w:val="32"/>
              </w:rPr>
              <w:t>0,260</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rPr>
                <w:szCs w:val="32"/>
              </w:rPr>
              <w:t>0,249</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0,230</w:t>
            </w:r>
          </w:p>
        </w:tc>
        <w:tc>
          <w:tcPr>
            <w:tcW w:w="1272" w:type="dxa"/>
            <w:vMerge/>
            <w:tcBorders>
              <w:left w:val="single" w:sz="4" w:space="0" w:color="auto"/>
              <w:right w:val="single" w:sz="4" w:space="0" w:color="auto"/>
            </w:tcBorders>
            <w:shd w:val="clear" w:color="auto" w:fill="FFFFFF"/>
          </w:tcPr>
          <w:p w:rsidR="00DA56DF" w:rsidRDefault="00DA56DF">
            <w:pPr>
              <w:jc w:val="both"/>
              <w:rPr>
                <w:szCs w:val="24"/>
              </w:rPr>
            </w:pPr>
          </w:p>
        </w:tc>
      </w:tr>
      <w:tr w:rsidR="00DA56DF">
        <w:tc>
          <w:tcPr>
            <w:tcW w:w="2736" w:type="dxa"/>
            <w:tcBorders>
              <w:left w:val="single" w:sz="4" w:space="0" w:color="auto"/>
              <w:right w:val="single" w:sz="4" w:space="0" w:color="auto"/>
            </w:tcBorders>
            <w:shd w:val="clear" w:color="auto" w:fill="FFFFFF"/>
          </w:tcPr>
          <w:p w:rsidR="00DA56DF" w:rsidRDefault="00117592">
            <w:pPr>
              <w:jc w:val="both"/>
              <w:rPr>
                <w:szCs w:val="24"/>
              </w:rPr>
            </w:pPr>
            <w:r>
              <w:t>Бензин Б-70</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32"/>
              </w:rPr>
              <w:t>0,394</w:t>
            </w:r>
          </w:p>
        </w:tc>
        <w:tc>
          <w:tcPr>
            <w:tcW w:w="1359" w:type="dxa"/>
            <w:tcBorders>
              <w:left w:val="single" w:sz="4" w:space="0" w:color="auto"/>
              <w:right w:val="single" w:sz="4" w:space="0" w:color="auto"/>
            </w:tcBorders>
            <w:shd w:val="clear" w:color="auto" w:fill="FFFFFF"/>
          </w:tcPr>
          <w:p w:rsidR="00DA56DF" w:rsidRDefault="00117592">
            <w:pPr>
              <w:jc w:val="center"/>
              <w:rPr>
                <w:szCs w:val="24"/>
              </w:rPr>
            </w:pPr>
            <w:r>
              <w:rPr>
                <w:szCs w:val="32"/>
              </w:rPr>
              <w:t>0,380</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rPr>
                <w:szCs w:val="32"/>
              </w:rPr>
              <w:t>0,360</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0,351</w:t>
            </w:r>
          </w:p>
        </w:tc>
        <w:tc>
          <w:tcPr>
            <w:tcW w:w="127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r w:rsidR="00DA56DF">
        <w:tc>
          <w:tcPr>
            <w:tcW w:w="2736" w:type="dxa"/>
            <w:tcBorders>
              <w:left w:val="single" w:sz="4" w:space="0" w:color="auto"/>
              <w:right w:val="single" w:sz="4" w:space="0" w:color="auto"/>
            </w:tcBorders>
            <w:shd w:val="clear" w:color="auto" w:fill="FFFFFF"/>
          </w:tcPr>
          <w:p w:rsidR="00DA56DF" w:rsidRDefault="00117592">
            <w:pPr>
              <w:jc w:val="both"/>
              <w:rPr>
                <w:szCs w:val="24"/>
              </w:rPr>
            </w:pPr>
            <w:r>
              <w:t>Бензин Б-91/115</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32"/>
              </w:rPr>
              <w:t>0,410</w:t>
            </w:r>
          </w:p>
        </w:tc>
        <w:tc>
          <w:tcPr>
            <w:tcW w:w="1359" w:type="dxa"/>
            <w:tcBorders>
              <w:left w:val="single" w:sz="4" w:space="0" w:color="auto"/>
              <w:right w:val="single" w:sz="4" w:space="0" w:color="auto"/>
            </w:tcBorders>
            <w:shd w:val="clear" w:color="auto" w:fill="FFFFFF"/>
          </w:tcPr>
          <w:p w:rsidR="00DA56DF" w:rsidRDefault="00117592">
            <w:pPr>
              <w:jc w:val="center"/>
              <w:rPr>
                <w:szCs w:val="24"/>
              </w:rPr>
            </w:pPr>
            <w:r>
              <w:rPr>
                <w:szCs w:val="32"/>
              </w:rPr>
              <w:t>0,300</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rPr>
                <w:szCs w:val="32"/>
              </w:rPr>
              <w:t>0,178</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0,170</w:t>
            </w:r>
          </w:p>
        </w:tc>
        <w:tc>
          <w:tcPr>
            <w:tcW w:w="127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r w:rsidR="00DA56DF">
        <w:tc>
          <w:tcPr>
            <w:tcW w:w="2736" w:type="dxa"/>
            <w:tcBorders>
              <w:left w:val="single" w:sz="4" w:space="0" w:color="auto"/>
              <w:right w:val="single" w:sz="4" w:space="0" w:color="auto"/>
            </w:tcBorders>
            <w:shd w:val="clear" w:color="auto" w:fill="FFFFFF"/>
          </w:tcPr>
          <w:p w:rsidR="00DA56DF" w:rsidRDefault="00117592">
            <w:pPr>
              <w:jc w:val="both"/>
              <w:rPr>
                <w:szCs w:val="24"/>
              </w:rPr>
            </w:pPr>
            <w:r>
              <w:t>Бензин Б-95/130</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32"/>
              </w:rPr>
              <w:t>0,302</w:t>
            </w:r>
          </w:p>
        </w:tc>
        <w:tc>
          <w:tcPr>
            <w:tcW w:w="1359" w:type="dxa"/>
            <w:tcBorders>
              <w:left w:val="single" w:sz="4" w:space="0" w:color="auto"/>
              <w:right w:val="single" w:sz="4" w:space="0" w:color="auto"/>
            </w:tcBorders>
            <w:shd w:val="clear" w:color="auto" w:fill="FFFFFF"/>
          </w:tcPr>
          <w:p w:rsidR="00DA56DF" w:rsidRDefault="00117592">
            <w:pPr>
              <w:jc w:val="center"/>
              <w:rPr>
                <w:szCs w:val="24"/>
              </w:rPr>
            </w:pPr>
            <w:r>
              <w:rPr>
                <w:szCs w:val="32"/>
              </w:rPr>
              <w:t>0,255</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rPr>
                <w:szCs w:val="32"/>
              </w:rPr>
              <w:t>0,250</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0,240</w:t>
            </w:r>
          </w:p>
        </w:tc>
        <w:tc>
          <w:tcPr>
            <w:tcW w:w="127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r w:rsidR="00DA56DF">
        <w:tc>
          <w:tcPr>
            <w:tcW w:w="2736" w:type="dxa"/>
            <w:tcBorders>
              <w:left w:val="single" w:sz="4" w:space="0" w:color="auto"/>
              <w:right w:val="single" w:sz="4" w:space="0" w:color="auto"/>
            </w:tcBorders>
            <w:shd w:val="clear" w:color="auto" w:fill="FFFFFF"/>
          </w:tcPr>
          <w:p w:rsidR="00DA56DF" w:rsidRDefault="00117592">
            <w:pPr>
              <w:jc w:val="both"/>
              <w:rPr>
                <w:szCs w:val="24"/>
              </w:rPr>
            </w:pPr>
            <w:r>
              <w:t>Керосин осветительный КО-25</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p>
        </w:tc>
        <w:tc>
          <w:tcPr>
            <w:tcW w:w="1359" w:type="dxa"/>
            <w:tcBorders>
              <w:left w:val="single" w:sz="4" w:space="0" w:color="auto"/>
              <w:right w:val="single" w:sz="4" w:space="0" w:color="auto"/>
            </w:tcBorders>
            <w:shd w:val="clear" w:color="auto" w:fill="FFFFFF"/>
          </w:tcPr>
          <w:p w:rsidR="00DA56DF" w:rsidRDefault="00117592">
            <w:pPr>
              <w:jc w:val="center"/>
              <w:rPr>
                <w:szCs w:val="24"/>
              </w:rPr>
            </w:pPr>
            <w:r>
              <w:rPr>
                <w:szCs w:val="32"/>
              </w:rPr>
              <w:t>-</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rPr>
                <w:szCs w:val="32"/>
              </w:rPr>
              <w:t>-</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0,586</w:t>
            </w:r>
          </w:p>
        </w:tc>
        <w:tc>
          <w:tcPr>
            <w:tcW w:w="127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r w:rsidR="00DA56DF">
        <w:tc>
          <w:tcPr>
            <w:tcW w:w="2736" w:type="dxa"/>
            <w:tcBorders>
              <w:left w:val="single" w:sz="4" w:space="0" w:color="auto"/>
              <w:right w:val="single" w:sz="4" w:space="0" w:color="auto"/>
            </w:tcBorders>
            <w:shd w:val="clear" w:color="auto" w:fill="FFFFFF"/>
          </w:tcPr>
          <w:p w:rsidR="00DA56DF" w:rsidRDefault="00117592">
            <w:pPr>
              <w:jc w:val="both"/>
              <w:rPr>
                <w:szCs w:val="24"/>
              </w:rPr>
            </w:pPr>
            <w:r>
              <w:t>Керосин для технических целей</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32"/>
              </w:rPr>
              <w:t>-</w:t>
            </w:r>
          </w:p>
        </w:tc>
        <w:tc>
          <w:tcPr>
            <w:tcW w:w="1359" w:type="dxa"/>
            <w:tcBorders>
              <w:left w:val="single" w:sz="4" w:space="0" w:color="auto"/>
              <w:right w:val="single" w:sz="4" w:space="0" w:color="auto"/>
            </w:tcBorders>
            <w:shd w:val="clear" w:color="auto" w:fill="FFFFFF"/>
          </w:tcPr>
          <w:p w:rsidR="00DA56DF" w:rsidRDefault="00117592">
            <w:pPr>
              <w:jc w:val="center"/>
              <w:rPr>
                <w:szCs w:val="24"/>
              </w:rPr>
            </w:pPr>
            <w:r>
              <w:rPr>
                <w:szCs w:val="32"/>
              </w:rPr>
              <w:t>-</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rPr>
                <w:szCs w:val="32"/>
              </w:rPr>
              <w:t>12,300</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1,930</w:t>
            </w:r>
          </w:p>
        </w:tc>
        <w:tc>
          <w:tcPr>
            <w:tcW w:w="127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r w:rsidR="00DA56DF">
        <w:tc>
          <w:tcPr>
            <w:tcW w:w="2736" w:type="dxa"/>
            <w:tcBorders>
              <w:left w:val="single" w:sz="4" w:space="0" w:color="auto"/>
              <w:right w:val="single" w:sz="4" w:space="0" w:color="auto"/>
            </w:tcBorders>
            <w:shd w:val="clear" w:color="auto" w:fill="FFFFFF"/>
          </w:tcPr>
          <w:p w:rsidR="00DA56DF" w:rsidRDefault="00117592">
            <w:pPr>
              <w:jc w:val="both"/>
              <w:rPr>
                <w:szCs w:val="24"/>
              </w:rPr>
            </w:pPr>
            <w:r>
              <w:t xml:space="preserve">Топливо </w:t>
            </w:r>
            <w:r>
              <w:rPr>
                <w:lang w:val="en-US"/>
              </w:rPr>
              <w:t>T</w:t>
            </w:r>
            <w:r>
              <w:t>-1</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32"/>
              </w:rPr>
              <w:t>-</w:t>
            </w:r>
          </w:p>
        </w:tc>
        <w:tc>
          <w:tcPr>
            <w:tcW w:w="1359" w:type="dxa"/>
            <w:tcBorders>
              <w:left w:val="single" w:sz="4" w:space="0" w:color="auto"/>
              <w:right w:val="single" w:sz="4" w:space="0" w:color="auto"/>
            </w:tcBorders>
            <w:shd w:val="clear" w:color="auto" w:fill="FFFFFF"/>
          </w:tcPr>
          <w:p w:rsidR="00DA56DF" w:rsidRDefault="00117592">
            <w:pPr>
              <w:jc w:val="center"/>
              <w:rPr>
                <w:szCs w:val="32"/>
              </w:rPr>
            </w:pPr>
            <w:r>
              <w:rPr>
                <w:szCs w:val="32"/>
              </w:rPr>
              <w:t>1,320</w:t>
            </w:r>
          </w:p>
          <w:p w:rsidR="00DA56DF" w:rsidRDefault="00117592">
            <w:pPr>
              <w:jc w:val="center"/>
              <w:rPr>
                <w:szCs w:val="24"/>
              </w:rPr>
            </w:pPr>
            <w:r>
              <w:t xml:space="preserve">(при </w:t>
            </w:r>
            <w:r>
              <w:rPr>
                <w:i/>
                <w:iCs/>
                <w:lang w:val="en-US"/>
              </w:rPr>
              <w:t>t</w:t>
            </w:r>
            <w:r>
              <w:t xml:space="preserve"> = 47°С)</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rPr>
                <w:szCs w:val="32"/>
              </w:rPr>
              <w:t>0,790</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0,438</w:t>
            </w:r>
          </w:p>
        </w:tc>
        <w:tc>
          <w:tcPr>
            <w:tcW w:w="127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r w:rsidR="00DA56DF">
        <w:tc>
          <w:tcPr>
            <w:tcW w:w="2736" w:type="dxa"/>
            <w:tcBorders>
              <w:left w:val="single" w:sz="4" w:space="0" w:color="auto"/>
              <w:right w:val="single" w:sz="4" w:space="0" w:color="auto"/>
            </w:tcBorders>
            <w:shd w:val="clear" w:color="auto" w:fill="FFFFFF"/>
          </w:tcPr>
          <w:p w:rsidR="00DA56DF" w:rsidRDefault="00117592">
            <w:pPr>
              <w:jc w:val="both"/>
              <w:rPr>
                <w:szCs w:val="24"/>
              </w:rPr>
            </w:pPr>
            <w:r>
              <w:t xml:space="preserve">Топливо </w:t>
            </w:r>
            <w:r>
              <w:rPr>
                <w:lang w:val="en-US"/>
              </w:rPr>
              <w:t>TC</w:t>
            </w:r>
            <w:r>
              <w:t>-1</w:t>
            </w:r>
          </w:p>
        </w:tc>
        <w:tc>
          <w:tcPr>
            <w:tcW w:w="1131" w:type="dxa"/>
            <w:tcBorders>
              <w:left w:val="single" w:sz="4" w:space="0" w:color="auto"/>
              <w:right w:val="single" w:sz="4" w:space="0" w:color="auto"/>
            </w:tcBorders>
            <w:shd w:val="clear" w:color="auto" w:fill="FFFFFF"/>
          </w:tcPr>
          <w:p w:rsidR="00DA56DF" w:rsidRDefault="00117592">
            <w:pPr>
              <w:jc w:val="center"/>
              <w:rPr>
                <w:szCs w:val="24"/>
              </w:rPr>
            </w:pPr>
            <w:r>
              <w:rPr>
                <w:szCs w:val="32"/>
              </w:rPr>
              <w:t>-</w:t>
            </w:r>
          </w:p>
        </w:tc>
        <w:tc>
          <w:tcPr>
            <w:tcW w:w="1359"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p>
        </w:tc>
        <w:tc>
          <w:tcPr>
            <w:tcW w:w="880" w:type="dxa"/>
            <w:tcBorders>
              <w:left w:val="single" w:sz="4" w:space="0" w:color="auto"/>
              <w:right w:val="single" w:sz="4" w:space="0" w:color="auto"/>
            </w:tcBorders>
            <w:shd w:val="clear" w:color="auto" w:fill="FFFFFF"/>
          </w:tcPr>
          <w:p w:rsidR="00DA56DF" w:rsidRDefault="00117592">
            <w:pPr>
              <w:jc w:val="center"/>
              <w:rPr>
                <w:szCs w:val="24"/>
              </w:rPr>
            </w:pPr>
            <w:r>
              <w:t>7,800</w:t>
            </w:r>
          </w:p>
        </w:tc>
        <w:tc>
          <w:tcPr>
            <w:tcW w:w="993" w:type="dxa"/>
            <w:tcBorders>
              <w:left w:val="single" w:sz="4" w:space="0" w:color="auto"/>
              <w:right w:val="single" w:sz="4" w:space="0" w:color="auto"/>
            </w:tcBorders>
            <w:shd w:val="clear" w:color="auto" w:fill="FFFFFF"/>
          </w:tcPr>
          <w:p w:rsidR="00DA56DF" w:rsidRDefault="00117592">
            <w:pPr>
              <w:jc w:val="center"/>
              <w:rPr>
                <w:szCs w:val="24"/>
              </w:rPr>
            </w:pPr>
            <w:r>
              <w:rPr>
                <w:szCs w:val="32"/>
              </w:rPr>
              <w:t>0,690</w:t>
            </w:r>
          </w:p>
        </w:tc>
        <w:tc>
          <w:tcPr>
            <w:tcW w:w="127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r w:rsidR="00DA56DF">
        <w:tc>
          <w:tcPr>
            <w:tcW w:w="2736" w:type="dxa"/>
            <w:tcBorders>
              <w:left w:val="single" w:sz="4" w:space="0" w:color="auto"/>
              <w:bottom w:val="single" w:sz="4" w:space="0" w:color="auto"/>
              <w:right w:val="single" w:sz="4" w:space="0" w:color="auto"/>
            </w:tcBorders>
            <w:shd w:val="clear" w:color="auto" w:fill="FFFFFF"/>
          </w:tcPr>
          <w:p w:rsidR="00DA56DF" w:rsidRDefault="00117592">
            <w:pPr>
              <w:jc w:val="both"/>
              <w:rPr>
                <w:szCs w:val="24"/>
              </w:rPr>
            </w:pPr>
            <w:r>
              <w:t>Дизельное топливо</w:t>
            </w:r>
          </w:p>
        </w:tc>
        <w:tc>
          <w:tcPr>
            <w:tcW w:w="1131"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rPr>
                <w:szCs w:val="24"/>
              </w:rPr>
              <w:t>-</w:t>
            </w:r>
          </w:p>
        </w:tc>
        <w:tc>
          <w:tcPr>
            <w:tcW w:w="1359"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rPr>
                <w:szCs w:val="24"/>
              </w:rPr>
              <w:t>-</w:t>
            </w:r>
          </w:p>
        </w:tc>
        <w:tc>
          <w:tcPr>
            <w:tcW w:w="880"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rPr>
                <w:szCs w:val="24"/>
              </w:rPr>
              <w:t>-</w:t>
            </w:r>
          </w:p>
        </w:tc>
        <w:tc>
          <w:tcPr>
            <w:tcW w:w="993"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rPr>
                <w:szCs w:val="24"/>
              </w:rPr>
              <w:t>-</w:t>
            </w:r>
          </w:p>
        </w:tc>
        <w:tc>
          <w:tcPr>
            <w:tcW w:w="1272"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rPr>
                <w:szCs w:val="24"/>
              </w:rPr>
              <w:t>-</w:t>
            </w:r>
            <w:r w:rsidR="00CD766F">
              <w:rPr>
                <w:szCs w:val="24"/>
              </w:rPr>
              <w:t>»</w:t>
            </w:r>
            <w:r>
              <w:rPr>
                <w:szCs w:val="24"/>
              </w:rPr>
              <w:t>-</w:t>
            </w:r>
          </w:p>
        </w:tc>
      </w:tr>
    </w:tbl>
    <w:p w:rsidR="00DA56DF" w:rsidRDefault="00DA56DF">
      <w:pPr>
        <w:ind w:firstLine="284"/>
        <w:jc w:val="both"/>
      </w:pPr>
    </w:p>
    <w:p w:rsidR="00DA56DF" w:rsidRDefault="00117592">
      <w:pPr>
        <w:ind w:firstLine="284"/>
        <w:jc w:val="right"/>
        <w:rPr>
          <w:i/>
          <w:iCs/>
        </w:rPr>
      </w:pPr>
      <w:r>
        <w:br w:type="page"/>
      </w:r>
      <w:r>
        <w:rPr>
          <w:i/>
          <w:iCs/>
        </w:rPr>
        <w:lastRenderedPageBreak/>
        <w:t>ПРИЛОЖЕНИЕ 3</w:t>
      </w:r>
    </w:p>
    <w:p w:rsidR="00DA56DF" w:rsidRDefault="00DA56DF">
      <w:pPr>
        <w:ind w:firstLine="284"/>
        <w:jc w:val="both"/>
        <w:rPr>
          <w:szCs w:val="24"/>
        </w:rPr>
      </w:pPr>
    </w:p>
    <w:p w:rsidR="00DA56DF" w:rsidRDefault="00117592">
      <w:pPr>
        <w:ind w:firstLine="284"/>
        <w:jc w:val="center"/>
        <w:rPr>
          <w:b/>
          <w:bCs/>
        </w:rPr>
      </w:pPr>
      <w:r>
        <w:rPr>
          <w:b/>
          <w:bCs/>
        </w:rPr>
        <w:t>УДЕЛЬНОЕ ОБЪЕМНОЕ ЭЛЕКТРИЧЕСКОЕ СОПРОТИВЛЕНИЕ И ОТНОСИТЕЛЬНАЯ ДИЭЛЕКТРИЧЕСКАЯ ПРОНИЦАЕМОСТЬ НЕФТЕПРОДУКТОВ</w:t>
      </w:r>
    </w:p>
    <w:p w:rsidR="00DA56DF" w:rsidRDefault="00DA56DF">
      <w:pPr>
        <w:ind w:firstLine="284"/>
        <w:jc w:val="both"/>
        <w:rPr>
          <w:szCs w:val="24"/>
        </w:rPr>
      </w:pPr>
    </w:p>
    <w:tbl>
      <w:tblPr>
        <w:tblW w:w="5097" w:type="pct"/>
        <w:tblLayout w:type="fixed"/>
        <w:tblCellMar>
          <w:left w:w="28" w:type="dxa"/>
          <w:right w:w="28" w:type="dxa"/>
        </w:tblCellMar>
        <w:tblLook w:val="0000" w:firstRow="0" w:lastRow="0" w:firstColumn="0" w:lastColumn="0" w:noHBand="0" w:noVBand="0"/>
      </w:tblPr>
      <w:tblGrid>
        <w:gridCol w:w="2661"/>
        <w:gridCol w:w="1931"/>
        <w:gridCol w:w="1562"/>
        <w:gridCol w:w="2379"/>
      </w:tblGrid>
      <w:tr w:rsidR="00DA56DF" w:rsidTr="00CD766F">
        <w:tc>
          <w:tcPr>
            <w:tcW w:w="2661" w:type="dxa"/>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Наименование нефтепродукта</w:t>
            </w:r>
          </w:p>
        </w:tc>
        <w:tc>
          <w:tcPr>
            <w:tcW w:w="1931" w:type="dxa"/>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 xml:space="preserve">Удельное объемное электрическое сопротивление, </w:t>
            </w:r>
            <w:proofErr w:type="spellStart"/>
            <w:r>
              <w:t>Ом·</w:t>
            </w:r>
            <w:proofErr w:type="gramStart"/>
            <w:r>
              <w:t>м</w:t>
            </w:r>
            <w:proofErr w:type="spellEnd"/>
            <w:proofErr w:type="gramEnd"/>
          </w:p>
        </w:tc>
        <w:tc>
          <w:tcPr>
            <w:tcW w:w="1562" w:type="dxa"/>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Относительная диэлектрическая проницаемость</w:t>
            </w:r>
          </w:p>
        </w:tc>
        <w:tc>
          <w:tcPr>
            <w:tcW w:w="2379" w:type="dxa"/>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Примечание</w:t>
            </w:r>
          </w:p>
        </w:tc>
      </w:tr>
      <w:tr w:rsidR="00DA56DF" w:rsidTr="00CD766F">
        <w:tc>
          <w:tcPr>
            <w:tcW w:w="2661" w:type="dxa"/>
            <w:tcBorders>
              <w:top w:val="single" w:sz="6" w:space="0" w:color="auto"/>
              <w:left w:val="single" w:sz="4" w:space="0" w:color="auto"/>
              <w:right w:val="single" w:sz="4" w:space="0" w:color="auto"/>
            </w:tcBorders>
            <w:shd w:val="clear" w:color="auto" w:fill="FFFFFF"/>
          </w:tcPr>
          <w:p w:rsidR="00DA56DF" w:rsidRDefault="00117592">
            <w:pPr>
              <w:jc w:val="both"/>
              <w:rPr>
                <w:szCs w:val="24"/>
              </w:rPr>
            </w:pPr>
            <w:r>
              <w:t>Бензин автомобильный А-76</w:t>
            </w:r>
          </w:p>
        </w:tc>
        <w:tc>
          <w:tcPr>
            <w:tcW w:w="1931" w:type="dxa"/>
            <w:tcBorders>
              <w:top w:val="single" w:sz="6" w:space="0" w:color="auto"/>
              <w:left w:val="single" w:sz="4" w:space="0" w:color="auto"/>
              <w:right w:val="single" w:sz="4" w:space="0" w:color="auto"/>
            </w:tcBorders>
            <w:shd w:val="clear" w:color="auto" w:fill="FFFFFF"/>
          </w:tcPr>
          <w:p w:rsidR="00DA56DF" w:rsidRDefault="00117592">
            <w:pPr>
              <w:jc w:val="center"/>
              <w:rPr>
                <w:szCs w:val="24"/>
              </w:rPr>
            </w:pPr>
            <w:r>
              <w:t>от 9,5·10</w:t>
            </w:r>
            <w:r>
              <w:rPr>
                <w:vertAlign w:val="superscript"/>
              </w:rPr>
              <w:t>9</w:t>
            </w:r>
            <w:r>
              <w:t xml:space="preserve"> до 2,5·10</w:t>
            </w:r>
            <w:r>
              <w:rPr>
                <w:vertAlign w:val="superscript"/>
              </w:rPr>
              <w:t>11</w:t>
            </w:r>
          </w:p>
        </w:tc>
        <w:tc>
          <w:tcPr>
            <w:tcW w:w="1562" w:type="dxa"/>
            <w:tcBorders>
              <w:top w:val="single" w:sz="6" w:space="0" w:color="auto"/>
              <w:left w:val="single" w:sz="4" w:space="0" w:color="auto"/>
              <w:right w:val="single" w:sz="4" w:space="0" w:color="auto"/>
            </w:tcBorders>
            <w:shd w:val="clear" w:color="auto" w:fill="FFFFFF"/>
          </w:tcPr>
          <w:p w:rsidR="00DA56DF" w:rsidRDefault="00117592">
            <w:pPr>
              <w:jc w:val="center"/>
              <w:rPr>
                <w:szCs w:val="24"/>
              </w:rPr>
            </w:pPr>
            <w:r>
              <w:t>от 1,79 до 2,12</w:t>
            </w:r>
          </w:p>
        </w:tc>
        <w:tc>
          <w:tcPr>
            <w:tcW w:w="2379" w:type="dxa"/>
            <w:tcBorders>
              <w:top w:val="single" w:sz="6" w:space="0" w:color="auto"/>
              <w:left w:val="single" w:sz="4" w:space="0" w:color="auto"/>
              <w:right w:val="single" w:sz="4" w:space="0" w:color="auto"/>
            </w:tcBorders>
            <w:shd w:val="clear" w:color="auto" w:fill="FFFFFF"/>
          </w:tcPr>
          <w:p w:rsidR="00DA56DF" w:rsidRDefault="00DA56DF">
            <w:pPr>
              <w:jc w:val="both"/>
              <w:rPr>
                <w:szCs w:val="24"/>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t>Бензин автомобильный АИ-93</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4,0·10</w:t>
            </w:r>
            <w:r>
              <w:rPr>
                <w:vertAlign w:val="superscript"/>
              </w:rPr>
              <w:t>9</w:t>
            </w:r>
            <w:r>
              <w:t xml:space="preserve"> до 4,4·10</w:t>
            </w:r>
            <w:r>
              <w:rPr>
                <w:vertAlign w:val="superscript"/>
              </w:rPr>
              <w:t>11</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t>от 2,15 до 2,21</w:t>
            </w:r>
          </w:p>
        </w:tc>
        <w:tc>
          <w:tcPr>
            <w:tcW w:w="2379" w:type="dxa"/>
            <w:tcBorders>
              <w:left w:val="single" w:sz="4" w:space="0" w:color="auto"/>
              <w:right w:val="single" w:sz="4" w:space="0" w:color="auto"/>
            </w:tcBorders>
            <w:shd w:val="clear" w:color="auto" w:fill="FFFFFF"/>
          </w:tcPr>
          <w:p w:rsidR="00DA56DF" w:rsidRDefault="00DA56DF">
            <w:pPr>
              <w:jc w:val="both"/>
              <w:rPr>
                <w:szCs w:val="24"/>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t>Бензин автомобильный АИ-98</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2,3·10</w:t>
            </w:r>
            <w:r>
              <w:rPr>
                <w:vertAlign w:val="superscript"/>
              </w:rPr>
              <w:t>10</w:t>
            </w:r>
            <w:r>
              <w:t xml:space="preserve"> до 2,8·10</w:t>
            </w:r>
            <w:r>
              <w:rPr>
                <w:vertAlign w:val="superscript"/>
              </w:rPr>
              <w:t>10</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rPr>
                <w:szCs w:val="24"/>
              </w:rPr>
              <w:t>-</w:t>
            </w:r>
          </w:p>
        </w:tc>
        <w:tc>
          <w:tcPr>
            <w:tcW w:w="2379" w:type="dxa"/>
            <w:tcBorders>
              <w:left w:val="single" w:sz="4" w:space="0" w:color="auto"/>
              <w:right w:val="single" w:sz="4" w:space="0" w:color="auto"/>
            </w:tcBorders>
            <w:shd w:val="clear" w:color="auto" w:fill="FFFFFF"/>
          </w:tcPr>
          <w:p w:rsidR="00DA56DF" w:rsidRDefault="00DA56DF">
            <w:pPr>
              <w:jc w:val="both"/>
              <w:rPr>
                <w:szCs w:val="24"/>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t>Бензин Б-70</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1,5·10</w:t>
            </w:r>
            <w:r>
              <w:rPr>
                <w:vertAlign w:val="superscript"/>
              </w:rPr>
              <w:t>10</w:t>
            </w:r>
            <w:r>
              <w:t xml:space="preserve"> до 5,0·10</w:t>
            </w:r>
            <w:r>
              <w:rPr>
                <w:vertAlign w:val="superscript"/>
              </w:rPr>
              <w:t>11</w:t>
            </w:r>
          </w:p>
        </w:tc>
        <w:tc>
          <w:tcPr>
            <w:tcW w:w="1562" w:type="dxa"/>
            <w:tcBorders>
              <w:left w:val="single" w:sz="4" w:space="0" w:color="auto"/>
              <w:right w:val="single" w:sz="4" w:space="0" w:color="auto"/>
            </w:tcBorders>
            <w:shd w:val="clear" w:color="auto" w:fill="FFFFFF"/>
          </w:tcPr>
          <w:p w:rsidR="00DA56DF" w:rsidRDefault="00117592">
            <w:pPr>
              <w:jc w:val="center"/>
              <w:rPr>
                <w:szCs w:val="24"/>
                <w:lang w:val="en-US"/>
              </w:rPr>
            </w:pPr>
            <w:r>
              <w:rPr>
                <w:lang w:val="en-US"/>
              </w:rPr>
              <w:t>-</w:t>
            </w:r>
          </w:p>
        </w:tc>
        <w:tc>
          <w:tcPr>
            <w:tcW w:w="2379" w:type="dxa"/>
            <w:tcBorders>
              <w:left w:val="single" w:sz="4" w:space="0" w:color="auto"/>
              <w:right w:val="single" w:sz="4" w:space="0" w:color="auto"/>
            </w:tcBorders>
            <w:shd w:val="clear" w:color="auto" w:fill="FFFFFF"/>
          </w:tcPr>
          <w:p w:rsidR="00DA56DF" w:rsidRDefault="00DA56DF">
            <w:pPr>
              <w:jc w:val="both"/>
              <w:rPr>
                <w:szCs w:val="24"/>
                <w:lang w:val="en-US"/>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t xml:space="preserve">Бензин </w:t>
            </w:r>
            <w:r>
              <w:rPr>
                <w:lang w:val="en-US"/>
              </w:rPr>
              <w:t>B</w:t>
            </w:r>
            <w:r>
              <w:t>-91/115</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4,7·10</w:t>
            </w:r>
            <w:r>
              <w:rPr>
                <w:vertAlign w:val="superscript"/>
              </w:rPr>
              <w:t>9</w:t>
            </w:r>
            <w:r>
              <w:t xml:space="preserve"> до 3,6·10</w:t>
            </w:r>
            <w:r>
              <w:rPr>
                <w:vertAlign w:val="superscript"/>
              </w:rPr>
              <w:t>11</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t>от 1,88 до 2,18</w:t>
            </w:r>
          </w:p>
        </w:tc>
        <w:tc>
          <w:tcPr>
            <w:tcW w:w="2379" w:type="dxa"/>
            <w:tcBorders>
              <w:left w:val="single" w:sz="4" w:space="0" w:color="auto"/>
              <w:right w:val="single" w:sz="4" w:space="0" w:color="auto"/>
            </w:tcBorders>
            <w:shd w:val="clear" w:color="auto" w:fill="FFFFFF"/>
          </w:tcPr>
          <w:p w:rsidR="00DA56DF" w:rsidRDefault="00DA56DF">
            <w:pPr>
              <w:jc w:val="both"/>
              <w:rPr>
                <w:szCs w:val="24"/>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t>Бензин Б-95/130</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3,5·10</w:t>
            </w:r>
            <w:r>
              <w:rPr>
                <w:vertAlign w:val="superscript"/>
              </w:rPr>
              <w:t>9</w:t>
            </w:r>
            <w:r>
              <w:t xml:space="preserve"> до 2,1·10</w:t>
            </w:r>
            <w:r>
              <w:rPr>
                <w:vertAlign w:val="superscript"/>
              </w:rPr>
              <w:t>11</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t>от 1,97 до 2,09</w:t>
            </w:r>
          </w:p>
        </w:tc>
        <w:tc>
          <w:tcPr>
            <w:tcW w:w="2379" w:type="dxa"/>
            <w:tcBorders>
              <w:left w:val="single" w:sz="4" w:space="0" w:color="auto"/>
              <w:right w:val="single" w:sz="4" w:space="0" w:color="auto"/>
            </w:tcBorders>
            <w:shd w:val="clear" w:color="auto" w:fill="FFFFFF"/>
          </w:tcPr>
          <w:p w:rsidR="00DA56DF" w:rsidRDefault="00DA56DF">
            <w:pPr>
              <w:jc w:val="both"/>
              <w:rPr>
                <w:szCs w:val="24"/>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t>Керосин осветительный</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2,0·10</w:t>
            </w:r>
            <w:r>
              <w:rPr>
                <w:vertAlign w:val="superscript"/>
              </w:rPr>
              <w:t>9</w:t>
            </w:r>
            <w:r>
              <w:t xml:space="preserve"> до 3,6·10</w:t>
            </w:r>
            <w:r>
              <w:rPr>
                <w:vertAlign w:val="superscript"/>
              </w:rPr>
              <w:t>11</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t>от 1,98 до 2,21</w:t>
            </w:r>
          </w:p>
        </w:tc>
        <w:tc>
          <w:tcPr>
            <w:tcW w:w="2379" w:type="dxa"/>
            <w:tcBorders>
              <w:left w:val="single" w:sz="4" w:space="0" w:color="auto"/>
              <w:right w:val="single" w:sz="4" w:space="0" w:color="auto"/>
            </w:tcBorders>
            <w:shd w:val="clear" w:color="auto" w:fill="FFFFFF"/>
          </w:tcPr>
          <w:p w:rsidR="00DA56DF" w:rsidRDefault="00DA56DF">
            <w:pPr>
              <w:jc w:val="both"/>
              <w:rPr>
                <w:szCs w:val="24"/>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rPr>
                <w:szCs w:val="36"/>
              </w:rPr>
              <w:t>Керосин для технических целей</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2,4·10</w:t>
            </w:r>
            <w:r>
              <w:rPr>
                <w:vertAlign w:val="superscript"/>
              </w:rPr>
              <w:t>8</w:t>
            </w:r>
            <w:r>
              <w:t xml:space="preserve"> до 4,2·10</w:t>
            </w:r>
            <w:r>
              <w:rPr>
                <w:vertAlign w:val="superscript"/>
              </w:rPr>
              <w:t>10</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t>от 2,02 до 2,23</w:t>
            </w:r>
          </w:p>
        </w:tc>
        <w:tc>
          <w:tcPr>
            <w:tcW w:w="2379" w:type="dxa"/>
            <w:tcBorders>
              <w:left w:val="single" w:sz="4" w:space="0" w:color="auto"/>
              <w:right w:val="single" w:sz="4" w:space="0" w:color="auto"/>
            </w:tcBorders>
            <w:shd w:val="clear" w:color="auto" w:fill="FFFFFF"/>
          </w:tcPr>
          <w:p w:rsidR="00DA56DF" w:rsidRDefault="00DA56DF">
            <w:pPr>
              <w:jc w:val="both"/>
              <w:rPr>
                <w:szCs w:val="24"/>
              </w:rPr>
            </w:pPr>
          </w:p>
        </w:tc>
      </w:tr>
      <w:tr w:rsidR="00DA56DF" w:rsidTr="00CD766F">
        <w:tc>
          <w:tcPr>
            <w:tcW w:w="2661" w:type="dxa"/>
            <w:tcBorders>
              <w:left w:val="single" w:sz="4" w:space="0" w:color="auto"/>
              <w:right w:val="single" w:sz="4" w:space="0" w:color="auto"/>
            </w:tcBorders>
            <w:shd w:val="clear" w:color="auto" w:fill="FFFFFF"/>
          </w:tcPr>
          <w:p w:rsidR="00DA56DF" w:rsidRDefault="00117592">
            <w:pPr>
              <w:jc w:val="both"/>
              <w:rPr>
                <w:szCs w:val="24"/>
              </w:rPr>
            </w:pPr>
            <w:r>
              <w:rPr>
                <w:szCs w:val="36"/>
              </w:rPr>
              <w:t>Топливо дизельное</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3,3·10</w:t>
            </w:r>
            <w:r>
              <w:rPr>
                <w:vertAlign w:val="superscript"/>
              </w:rPr>
              <w:t>8</w:t>
            </w:r>
            <w:r>
              <w:t xml:space="preserve"> до 5,1·10</w:t>
            </w:r>
            <w:r>
              <w:rPr>
                <w:vertAlign w:val="superscript"/>
              </w:rPr>
              <w:t>11</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t>от 1,91 до 2,26</w:t>
            </w:r>
          </w:p>
        </w:tc>
        <w:tc>
          <w:tcPr>
            <w:tcW w:w="2379" w:type="dxa"/>
            <w:tcBorders>
              <w:left w:val="single" w:sz="4" w:space="0" w:color="auto"/>
              <w:right w:val="single" w:sz="4" w:space="0" w:color="auto"/>
            </w:tcBorders>
            <w:shd w:val="clear" w:color="auto" w:fill="FFFFFF"/>
          </w:tcPr>
          <w:p w:rsidR="00DA56DF" w:rsidRDefault="00DA56DF">
            <w:pPr>
              <w:jc w:val="both"/>
              <w:rPr>
                <w:szCs w:val="24"/>
              </w:rPr>
            </w:pPr>
          </w:p>
        </w:tc>
      </w:tr>
      <w:tr w:rsidR="00DA56DF" w:rsidTr="00CD766F">
        <w:trPr>
          <w:cantSplit/>
        </w:trPr>
        <w:tc>
          <w:tcPr>
            <w:tcW w:w="2661" w:type="dxa"/>
            <w:tcBorders>
              <w:left w:val="single" w:sz="4" w:space="0" w:color="auto"/>
              <w:right w:val="single" w:sz="4" w:space="0" w:color="auto"/>
            </w:tcBorders>
            <w:shd w:val="clear" w:color="auto" w:fill="FFFFFF"/>
          </w:tcPr>
          <w:p w:rsidR="00DA56DF" w:rsidRDefault="00117592">
            <w:pPr>
              <w:jc w:val="both"/>
              <w:rPr>
                <w:szCs w:val="24"/>
              </w:rPr>
            </w:pPr>
            <w:r>
              <w:t xml:space="preserve">Топливо </w:t>
            </w:r>
            <w:r>
              <w:rPr>
                <w:lang w:val="en-US"/>
              </w:rPr>
              <w:t>T</w:t>
            </w:r>
            <w:r>
              <w:t>-1</w:t>
            </w:r>
          </w:p>
        </w:tc>
        <w:tc>
          <w:tcPr>
            <w:tcW w:w="1931" w:type="dxa"/>
            <w:tcBorders>
              <w:left w:val="single" w:sz="4" w:space="0" w:color="auto"/>
              <w:right w:val="single" w:sz="4" w:space="0" w:color="auto"/>
            </w:tcBorders>
            <w:shd w:val="clear" w:color="auto" w:fill="FFFFFF"/>
          </w:tcPr>
          <w:p w:rsidR="00DA56DF" w:rsidRDefault="00117592">
            <w:pPr>
              <w:jc w:val="center"/>
              <w:rPr>
                <w:szCs w:val="24"/>
              </w:rPr>
            </w:pPr>
            <w:r>
              <w:t>от 1,9·10</w:t>
            </w:r>
            <w:r>
              <w:rPr>
                <w:vertAlign w:val="superscript"/>
              </w:rPr>
              <w:t>10</w:t>
            </w:r>
            <w:r>
              <w:t xml:space="preserve"> до 5,5·10</w:t>
            </w:r>
            <w:r>
              <w:rPr>
                <w:vertAlign w:val="superscript"/>
              </w:rPr>
              <w:t>10</w:t>
            </w:r>
          </w:p>
        </w:tc>
        <w:tc>
          <w:tcPr>
            <w:tcW w:w="1562" w:type="dxa"/>
            <w:tcBorders>
              <w:left w:val="single" w:sz="4" w:space="0" w:color="auto"/>
              <w:right w:val="single" w:sz="4" w:space="0" w:color="auto"/>
            </w:tcBorders>
            <w:shd w:val="clear" w:color="auto" w:fill="FFFFFF"/>
          </w:tcPr>
          <w:p w:rsidR="00DA56DF" w:rsidRDefault="00117592">
            <w:pPr>
              <w:jc w:val="center"/>
              <w:rPr>
                <w:szCs w:val="24"/>
              </w:rPr>
            </w:pPr>
            <w:r>
              <w:t>от 2,15 до 2,28</w:t>
            </w:r>
          </w:p>
        </w:tc>
        <w:tc>
          <w:tcPr>
            <w:tcW w:w="2379" w:type="dxa"/>
            <w:vMerge w:val="restart"/>
            <w:tcBorders>
              <w:left w:val="single" w:sz="4" w:space="0" w:color="auto"/>
              <w:right w:val="single" w:sz="4" w:space="0" w:color="auto"/>
            </w:tcBorders>
            <w:shd w:val="clear" w:color="auto" w:fill="FFFFFF"/>
          </w:tcPr>
          <w:p w:rsidR="00DA56DF" w:rsidRDefault="00117592" w:rsidP="00CD766F">
            <w:pPr>
              <w:jc w:val="center"/>
              <w:rPr>
                <w:szCs w:val="24"/>
              </w:rPr>
            </w:pPr>
            <w:r>
              <w:t xml:space="preserve">Измерения проведены СКБ </w:t>
            </w:r>
            <w:r w:rsidR="00CD766F">
              <w:t>«</w:t>
            </w:r>
            <w:proofErr w:type="spellStart"/>
            <w:r>
              <w:t>Транснефтеавтоматика</w:t>
            </w:r>
            <w:proofErr w:type="spellEnd"/>
            <w:r w:rsidR="00CD766F">
              <w:t>»</w:t>
            </w:r>
          </w:p>
        </w:tc>
      </w:tr>
      <w:tr w:rsidR="00DA56DF" w:rsidTr="00CD766F">
        <w:trPr>
          <w:cantSplit/>
        </w:trPr>
        <w:tc>
          <w:tcPr>
            <w:tcW w:w="2661" w:type="dxa"/>
            <w:tcBorders>
              <w:left w:val="single" w:sz="4" w:space="0" w:color="auto"/>
              <w:bottom w:val="single" w:sz="4" w:space="0" w:color="auto"/>
              <w:right w:val="single" w:sz="4" w:space="0" w:color="auto"/>
            </w:tcBorders>
            <w:shd w:val="clear" w:color="auto" w:fill="FFFFFF"/>
          </w:tcPr>
          <w:p w:rsidR="00DA56DF" w:rsidRDefault="00117592">
            <w:pPr>
              <w:jc w:val="both"/>
              <w:rPr>
                <w:szCs w:val="24"/>
              </w:rPr>
            </w:pPr>
            <w:r>
              <w:t xml:space="preserve">Топливо </w:t>
            </w:r>
            <w:r>
              <w:rPr>
                <w:lang w:val="en-US"/>
              </w:rPr>
              <w:t>TC</w:t>
            </w:r>
            <w:r>
              <w:t>-1</w:t>
            </w:r>
          </w:p>
        </w:tc>
        <w:tc>
          <w:tcPr>
            <w:tcW w:w="1931"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t>от 3,6·10</w:t>
            </w:r>
            <w:r>
              <w:rPr>
                <w:vertAlign w:val="superscript"/>
              </w:rPr>
              <w:t>10</w:t>
            </w:r>
            <w:r>
              <w:t xml:space="preserve"> до 5,6·10</w:t>
            </w:r>
            <w:r>
              <w:rPr>
                <w:vertAlign w:val="superscript"/>
              </w:rPr>
              <w:t>10</w:t>
            </w:r>
          </w:p>
        </w:tc>
        <w:tc>
          <w:tcPr>
            <w:tcW w:w="1562"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rPr>
                <w:szCs w:val="24"/>
              </w:rPr>
              <w:t>-</w:t>
            </w:r>
          </w:p>
        </w:tc>
        <w:tc>
          <w:tcPr>
            <w:tcW w:w="2379" w:type="dxa"/>
            <w:vMerge/>
            <w:tcBorders>
              <w:left w:val="single" w:sz="4" w:space="0" w:color="auto"/>
              <w:bottom w:val="single" w:sz="4" w:space="0" w:color="auto"/>
              <w:right w:val="single" w:sz="4" w:space="0" w:color="auto"/>
            </w:tcBorders>
            <w:shd w:val="clear" w:color="auto" w:fill="FFFFFF"/>
          </w:tcPr>
          <w:p w:rsidR="00DA56DF" w:rsidRDefault="00DA56DF">
            <w:pPr>
              <w:jc w:val="both"/>
              <w:rPr>
                <w:szCs w:val="24"/>
              </w:rPr>
            </w:pPr>
          </w:p>
        </w:tc>
      </w:tr>
    </w:tbl>
    <w:p w:rsidR="00CD766F" w:rsidRDefault="00CD766F">
      <w:pPr>
        <w:ind w:left="720" w:hanging="436"/>
        <w:jc w:val="right"/>
        <w:rPr>
          <w:i/>
          <w:iCs/>
          <w:szCs w:val="34"/>
        </w:rPr>
      </w:pPr>
    </w:p>
    <w:p w:rsidR="00CD766F" w:rsidRDefault="00CD766F">
      <w:pPr>
        <w:widowControl/>
        <w:autoSpaceDE/>
        <w:autoSpaceDN/>
        <w:adjustRightInd/>
        <w:rPr>
          <w:i/>
          <w:iCs/>
          <w:szCs w:val="34"/>
        </w:rPr>
      </w:pPr>
      <w:r>
        <w:rPr>
          <w:i/>
          <w:iCs/>
          <w:szCs w:val="34"/>
        </w:rPr>
        <w:br w:type="page"/>
      </w:r>
    </w:p>
    <w:p w:rsidR="00DA56DF" w:rsidRDefault="00117592">
      <w:pPr>
        <w:ind w:left="720" w:hanging="436"/>
        <w:jc w:val="right"/>
        <w:rPr>
          <w:i/>
          <w:iCs/>
          <w:szCs w:val="34"/>
        </w:rPr>
      </w:pPr>
      <w:r>
        <w:rPr>
          <w:i/>
          <w:iCs/>
          <w:szCs w:val="34"/>
        </w:rPr>
        <w:lastRenderedPageBreak/>
        <w:t>ПРИЛОЖЕНИЕ 4</w:t>
      </w:r>
    </w:p>
    <w:p w:rsidR="00DA56DF" w:rsidRDefault="00DA56DF">
      <w:pPr>
        <w:ind w:firstLine="284"/>
        <w:jc w:val="both"/>
        <w:rPr>
          <w:szCs w:val="24"/>
        </w:rPr>
      </w:pPr>
    </w:p>
    <w:p w:rsidR="00DA56DF" w:rsidRDefault="00117592">
      <w:pPr>
        <w:ind w:firstLine="284"/>
        <w:jc w:val="center"/>
        <w:rPr>
          <w:b/>
          <w:bCs/>
          <w:szCs w:val="28"/>
        </w:rPr>
      </w:pPr>
      <w:r>
        <w:rPr>
          <w:b/>
          <w:bCs/>
          <w:szCs w:val="28"/>
        </w:rPr>
        <w:t>ПОВЕРХНОСТНОЕ НАТЯЖЕНИЕ СВЕТЛЫХ НЕФТЕПРОДУКТОВ</w:t>
      </w:r>
    </w:p>
    <w:p w:rsidR="00DA56DF" w:rsidRDefault="00DA56DF">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3088"/>
        <w:gridCol w:w="2845"/>
        <w:gridCol w:w="2438"/>
      </w:tblGrid>
      <w:tr w:rsidR="00DA56DF">
        <w:tc>
          <w:tcPr>
            <w:tcW w:w="3088" w:type="dxa"/>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rPr>
                <w:szCs w:val="28"/>
              </w:rPr>
              <w:t>Наименование нефтепродукта</w:t>
            </w:r>
          </w:p>
        </w:tc>
        <w:tc>
          <w:tcPr>
            <w:tcW w:w="2845" w:type="dxa"/>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t>Поверхностное натяжение, Н/м</w:t>
            </w:r>
          </w:p>
        </w:tc>
        <w:tc>
          <w:tcPr>
            <w:tcW w:w="2438" w:type="dxa"/>
            <w:tcBorders>
              <w:top w:val="single" w:sz="4" w:space="0" w:color="auto"/>
              <w:left w:val="single" w:sz="4" w:space="0" w:color="auto"/>
              <w:bottom w:val="single" w:sz="6" w:space="0" w:color="auto"/>
              <w:right w:val="single" w:sz="4" w:space="0" w:color="auto"/>
            </w:tcBorders>
            <w:shd w:val="clear" w:color="auto" w:fill="FFFFFF"/>
            <w:vAlign w:val="center"/>
          </w:tcPr>
          <w:p w:rsidR="00DA56DF" w:rsidRDefault="00117592">
            <w:pPr>
              <w:jc w:val="center"/>
              <w:rPr>
                <w:szCs w:val="24"/>
              </w:rPr>
            </w:pPr>
            <w:r>
              <w:rPr>
                <w:szCs w:val="28"/>
              </w:rPr>
              <w:t>Примечание</w:t>
            </w:r>
          </w:p>
        </w:tc>
      </w:tr>
      <w:tr w:rsidR="00DA56DF">
        <w:trPr>
          <w:cantSplit/>
        </w:trPr>
        <w:tc>
          <w:tcPr>
            <w:tcW w:w="3088" w:type="dxa"/>
            <w:tcBorders>
              <w:top w:val="single" w:sz="6" w:space="0" w:color="auto"/>
              <w:left w:val="single" w:sz="4" w:space="0" w:color="auto"/>
              <w:right w:val="single" w:sz="4" w:space="0" w:color="auto"/>
            </w:tcBorders>
            <w:shd w:val="clear" w:color="auto" w:fill="FFFFFF"/>
          </w:tcPr>
          <w:p w:rsidR="00DA56DF" w:rsidRDefault="00117592">
            <w:pPr>
              <w:jc w:val="both"/>
              <w:rPr>
                <w:szCs w:val="24"/>
              </w:rPr>
            </w:pPr>
            <w:r>
              <w:rPr>
                <w:szCs w:val="28"/>
              </w:rPr>
              <w:t>Бензин автомобильный А-76</w:t>
            </w:r>
          </w:p>
        </w:tc>
        <w:tc>
          <w:tcPr>
            <w:tcW w:w="2845" w:type="dxa"/>
            <w:tcBorders>
              <w:top w:val="single" w:sz="6" w:space="0" w:color="auto"/>
              <w:left w:val="single" w:sz="4" w:space="0" w:color="auto"/>
              <w:right w:val="single" w:sz="4" w:space="0" w:color="auto"/>
            </w:tcBorders>
            <w:shd w:val="clear" w:color="auto" w:fill="FFFFFF"/>
          </w:tcPr>
          <w:p w:rsidR="00DA56DF" w:rsidRDefault="00117592">
            <w:pPr>
              <w:jc w:val="center"/>
              <w:rPr>
                <w:szCs w:val="24"/>
              </w:rPr>
            </w:pPr>
            <w:r>
              <w:t>от 0,0212 до 0,0279</w:t>
            </w:r>
          </w:p>
        </w:tc>
        <w:tc>
          <w:tcPr>
            <w:tcW w:w="2438" w:type="dxa"/>
            <w:vMerge w:val="restart"/>
            <w:tcBorders>
              <w:top w:val="single" w:sz="6" w:space="0" w:color="auto"/>
              <w:left w:val="single" w:sz="4" w:space="0" w:color="auto"/>
              <w:right w:val="single" w:sz="4" w:space="0" w:color="auto"/>
            </w:tcBorders>
            <w:shd w:val="clear" w:color="auto" w:fill="FFFFFF"/>
          </w:tcPr>
          <w:p w:rsidR="00DA56DF" w:rsidRDefault="00117592" w:rsidP="00CD766F">
            <w:pPr>
              <w:jc w:val="center"/>
              <w:rPr>
                <w:szCs w:val="24"/>
              </w:rPr>
            </w:pPr>
            <w:r>
              <w:rPr>
                <w:szCs w:val="28"/>
              </w:rPr>
              <w:t xml:space="preserve">Измерения проведены  СКБ </w:t>
            </w:r>
            <w:r w:rsidR="00CD766F">
              <w:rPr>
                <w:szCs w:val="28"/>
              </w:rPr>
              <w:t>«</w:t>
            </w:r>
            <w:proofErr w:type="spellStart"/>
            <w:r>
              <w:rPr>
                <w:szCs w:val="28"/>
              </w:rPr>
              <w:t>Транснефте</w:t>
            </w:r>
            <w:r>
              <w:t>автоматика</w:t>
            </w:r>
            <w:proofErr w:type="spellEnd"/>
            <w:r w:rsidR="00CD766F">
              <w:t>»</w:t>
            </w:r>
          </w:p>
        </w:tc>
      </w:tr>
      <w:tr w:rsidR="00DA56DF">
        <w:trPr>
          <w:cantSplit/>
        </w:trPr>
        <w:tc>
          <w:tcPr>
            <w:tcW w:w="3088" w:type="dxa"/>
            <w:tcBorders>
              <w:left w:val="single" w:sz="4" w:space="0" w:color="auto"/>
              <w:right w:val="single" w:sz="4" w:space="0" w:color="auto"/>
            </w:tcBorders>
            <w:shd w:val="clear" w:color="auto" w:fill="FFFFFF"/>
          </w:tcPr>
          <w:p w:rsidR="00DA56DF" w:rsidRDefault="00117592">
            <w:pPr>
              <w:jc w:val="both"/>
              <w:rPr>
                <w:szCs w:val="24"/>
              </w:rPr>
            </w:pPr>
            <w:r>
              <w:rPr>
                <w:szCs w:val="28"/>
              </w:rPr>
              <w:t>Бензин автомобильный АИ-93</w:t>
            </w:r>
          </w:p>
        </w:tc>
        <w:tc>
          <w:tcPr>
            <w:tcW w:w="2845" w:type="dxa"/>
            <w:tcBorders>
              <w:left w:val="single" w:sz="4" w:space="0" w:color="auto"/>
              <w:right w:val="single" w:sz="4" w:space="0" w:color="auto"/>
            </w:tcBorders>
            <w:shd w:val="clear" w:color="auto" w:fill="FFFFFF"/>
          </w:tcPr>
          <w:p w:rsidR="00DA56DF" w:rsidRDefault="00117592">
            <w:pPr>
              <w:jc w:val="center"/>
              <w:rPr>
                <w:szCs w:val="24"/>
              </w:rPr>
            </w:pPr>
            <w:r>
              <w:rPr>
                <w:szCs w:val="32"/>
              </w:rPr>
              <w:t>от 0,0233 до 0,0272</w:t>
            </w:r>
          </w:p>
        </w:tc>
        <w:tc>
          <w:tcPr>
            <w:tcW w:w="2438" w:type="dxa"/>
            <w:vMerge/>
            <w:tcBorders>
              <w:left w:val="single" w:sz="4" w:space="0" w:color="auto"/>
              <w:right w:val="single" w:sz="4" w:space="0" w:color="auto"/>
            </w:tcBorders>
            <w:shd w:val="clear" w:color="auto" w:fill="FFFFFF"/>
          </w:tcPr>
          <w:p w:rsidR="00DA56DF" w:rsidRDefault="00DA56DF">
            <w:pPr>
              <w:jc w:val="both"/>
              <w:rPr>
                <w:szCs w:val="24"/>
              </w:rPr>
            </w:pPr>
          </w:p>
        </w:tc>
      </w:tr>
      <w:tr w:rsidR="00DA56DF">
        <w:trPr>
          <w:cantSplit/>
        </w:trPr>
        <w:tc>
          <w:tcPr>
            <w:tcW w:w="3088" w:type="dxa"/>
            <w:tcBorders>
              <w:left w:val="single" w:sz="4" w:space="0" w:color="auto"/>
              <w:right w:val="single" w:sz="4" w:space="0" w:color="auto"/>
            </w:tcBorders>
            <w:shd w:val="clear" w:color="auto" w:fill="FFFFFF"/>
          </w:tcPr>
          <w:p w:rsidR="00DA56DF" w:rsidRDefault="00117592">
            <w:pPr>
              <w:jc w:val="both"/>
              <w:rPr>
                <w:szCs w:val="24"/>
              </w:rPr>
            </w:pPr>
            <w:r>
              <w:t>Бензин Б-91/115</w:t>
            </w:r>
          </w:p>
        </w:tc>
        <w:tc>
          <w:tcPr>
            <w:tcW w:w="2845" w:type="dxa"/>
            <w:tcBorders>
              <w:left w:val="single" w:sz="4" w:space="0" w:color="auto"/>
              <w:right w:val="single" w:sz="4" w:space="0" w:color="auto"/>
            </w:tcBorders>
            <w:shd w:val="clear" w:color="auto" w:fill="FFFFFF"/>
          </w:tcPr>
          <w:p w:rsidR="00DA56DF" w:rsidRDefault="00117592">
            <w:pPr>
              <w:jc w:val="center"/>
              <w:rPr>
                <w:szCs w:val="24"/>
              </w:rPr>
            </w:pPr>
            <w:r>
              <w:rPr>
                <w:szCs w:val="32"/>
              </w:rPr>
              <w:t>от 0,0162 до 0,0238</w:t>
            </w:r>
          </w:p>
        </w:tc>
        <w:tc>
          <w:tcPr>
            <w:tcW w:w="2438" w:type="dxa"/>
            <w:vMerge/>
            <w:tcBorders>
              <w:left w:val="single" w:sz="4" w:space="0" w:color="auto"/>
              <w:right w:val="single" w:sz="4" w:space="0" w:color="auto"/>
            </w:tcBorders>
            <w:shd w:val="clear" w:color="auto" w:fill="FFFFFF"/>
          </w:tcPr>
          <w:p w:rsidR="00DA56DF" w:rsidRDefault="00DA56DF">
            <w:pPr>
              <w:jc w:val="both"/>
              <w:rPr>
                <w:szCs w:val="24"/>
              </w:rPr>
            </w:pPr>
          </w:p>
        </w:tc>
      </w:tr>
      <w:tr w:rsidR="00DA56DF">
        <w:trPr>
          <w:cantSplit/>
        </w:trPr>
        <w:tc>
          <w:tcPr>
            <w:tcW w:w="3088" w:type="dxa"/>
            <w:tcBorders>
              <w:left w:val="single" w:sz="4" w:space="0" w:color="auto"/>
              <w:right w:val="single" w:sz="4" w:space="0" w:color="auto"/>
            </w:tcBorders>
            <w:shd w:val="clear" w:color="auto" w:fill="FFFFFF"/>
          </w:tcPr>
          <w:p w:rsidR="00DA56DF" w:rsidRDefault="00117592">
            <w:pPr>
              <w:jc w:val="both"/>
              <w:rPr>
                <w:szCs w:val="24"/>
              </w:rPr>
            </w:pPr>
            <w:r>
              <w:t>Бензин Б-95/130</w:t>
            </w:r>
          </w:p>
        </w:tc>
        <w:tc>
          <w:tcPr>
            <w:tcW w:w="2845" w:type="dxa"/>
            <w:tcBorders>
              <w:left w:val="single" w:sz="4" w:space="0" w:color="auto"/>
              <w:right w:val="single" w:sz="4" w:space="0" w:color="auto"/>
            </w:tcBorders>
            <w:shd w:val="clear" w:color="auto" w:fill="FFFFFF"/>
          </w:tcPr>
          <w:p w:rsidR="00DA56DF" w:rsidRDefault="00117592">
            <w:pPr>
              <w:jc w:val="center"/>
              <w:rPr>
                <w:szCs w:val="24"/>
              </w:rPr>
            </w:pPr>
            <w:r>
              <w:rPr>
                <w:szCs w:val="32"/>
              </w:rPr>
              <w:t>от 0,0158 до 0,0227</w:t>
            </w:r>
          </w:p>
        </w:tc>
        <w:tc>
          <w:tcPr>
            <w:tcW w:w="2438" w:type="dxa"/>
            <w:vMerge/>
            <w:tcBorders>
              <w:left w:val="single" w:sz="4" w:space="0" w:color="auto"/>
              <w:right w:val="single" w:sz="4" w:space="0" w:color="auto"/>
            </w:tcBorders>
            <w:shd w:val="clear" w:color="auto" w:fill="FFFFFF"/>
          </w:tcPr>
          <w:p w:rsidR="00DA56DF" w:rsidRDefault="00DA56DF">
            <w:pPr>
              <w:jc w:val="both"/>
              <w:rPr>
                <w:szCs w:val="24"/>
              </w:rPr>
            </w:pPr>
          </w:p>
        </w:tc>
      </w:tr>
      <w:tr w:rsidR="00DA56DF">
        <w:trPr>
          <w:cantSplit/>
        </w:trPr>
        <w:tc>
          <w:tcPr>
            <w:tcW w:w="3088" w:type="dxa"/>
            <w:tcBorders>
              <w:left w:val="single" w:sz="4" w:space="0" w:color="auto"/>
              <w:right w:val="single" w:sz="4" w:space="0" w:color="auto"/>
            </w:tcBorders>
            <w:shd w:val="clear" w:color="auto" w:fill="FFFFFF"/>
          </w:tcPr>
          <w:p w:rsidR="00DA56DF" w:rsidRDefault="00117592">
            <w:pPr>
              <w:jc w:val="both"/>
              <w:rPr>
                <w:szCs w:val="24"/>
              </w:rPr>
            </w:pPr>
            <w:r>
              <w:t>Керосин осветительный</w:t>
            </w:r>
          </w:p>
        </w:tc>
        <w:tc>
          <w:tcPr>
            <w:tcW w:w="2845" w:type="dxa"/>
            <w:tcBorders>
              <w:left w:val="single" w:sz="4" w:space="0" w:color="auto"/>
              <w:right w:val="single" w:sz="4" w:space="0" w:color="auto"/>
            </w:tcBorders>
            <w:shd w:val="clear" w:color="auto" w:fill="FFFFFF"/>
          </w:tcPr>
          <w:p w:rsidR="00DA56DF" w:rsidRDefault="00117592">
            <w:pPr>
              <w:jc w:val="center"/>
              <w:rPr>
                <w:szCs w:val="24"/>
              </w:rPr>
            </w:pPr>
            <w:r>
              <w:rPr>
                <w:szCs w:val="32"/>
              </w:rPr>
              <w:t>от 0,0225 до 0,0247</w:t>
            </w:r>
          </w:p>
        </w:tc>
        <w:tc>
          <w:tcPr>
            <w:tcW w:w="2438" w:type="dxa"/>
            <w:vMerge/>
            <w:tcBorders>
              <w:left w:val="single" w:sz="4" w:space="0" w:color="auto"/>
              <w:right w:val="single" w:sz="4" w:space="0" w:color="auto"/>
            </w:tcBorders>
            <w:shd w:val="clear" w:color="auto" w:fill="FFFFFF"/>
          </w:tcPr>
          <w:p w:rsidR="00DA56DF" w:rsidRDefault="00DA56DF">
            <w:pPr>
              <w:jc w:val="both"/>
              <w:rPr>
                <w:szCs w:val="24"/>
              </w:rPr>
            </w:pPr>
          </w:p>
        </w:tc>
      </w:tr>
      <w:tr w:rsidR="00DA56DF">
        <w:trPr>
          <w:cantSplit/>
        </w:trPr>
        <w:tc>
          <w:tcPr>
            <w:tcW w:w="3088" w:type="dxa"/>
            <w:tcBorders>
              <w:left w:val="single" w:sz="4" w:space="0" w:color="auto"/>
              <w:right w:val="single" w:sz="4" w:space="0" w:color="auto"/>
            </w:tcBorders>
            <w:shd w:val="clear" w:color="auto" w:fill="FFFFFF"/>
          </w:tcPr>
          <w:p w:rsidR="00DA56DF" w:rsidRDefault="00117592">
            <w:pPr>
              <w:jc w:val="both"/>
              <w:rPr>
                <w:szCs w:val="24"/>
              </w:rPr>
            </w:pPr>
            <w:r>
              <w:rPr>
                <w:szCs w:val="28"/>
              </w:rPr>
              <w:t>Керосин для технических целей</w:t>
            </w:r>
          </w:p>
        </w:tc>
        <w:tc>
          <w:tcPr>
            <w:tcW w:w="2845" w:type="dxa"/>
            <w:tcBorders>
              <w:left w:val="single" w:sz="4" w:space="0" w:color="auto"/>
              <w:right w:val="single" w:sz="4" w:space="0" w:color="auto"/>
            </w:tcBorders>
            <w:shd w:val="clear" w:color="auto" w:fill="FFFFFF"/>
          </w:tcPr>
          <w:p w:rsidR="00DA56DF" w:rsidRDefault="00117592">
            <w:pPr>
              <w:jc w:val="center"/>
              <w:rPr>
                <w:szCs w:val="24"/>
              </w:rPr>
            </w:pPr>
            <w:r>
              <w:rPr>
                <w:szCs w:val="32"/>
              </w:rPr>
              <w:t>от 0,0163 до 0,0250</w:t>
            </w:r>
          </w:p>
        </w:tc>
        <w:tc>
          <w:tcPr>
            <w:tcW w:w="2438" w:type="dxa"/>
            <w:vMerge/>
            <w:tcBorders>
              <w:left w:val="single" w:sz="4" w:space="0" w:color="auto"/>
              <w:right w:val="single" w:sz="4" w:space="0" w:color="auto"/>
            </w:tcBorders>
            <w:shd w:val="clear" w:color="auto" w:fill="FFFFFF"/>
          </w:tcPr>
          <w:p w:rsidR="00DA56DF" w:rsidRDefault="00DA56DF">
            <w:pPr>
              <w:jc w:val="both"/>
              <w:rPr>
                <w:szCs w:val="24"/>
              </w:rPr>
            </w:pPr>
          </w:p>
        </w:tc>
      </w:tr>
      <w:tr w:rsidR="00DA56DF">
        <w:trPr>
          <w:cantSplit/>
        </w:trPr>
        <w:tc>
          <w:tcPr>
            <w:tcW w:w="3088" w:type="dxa"/>
            <w:tcBorders>
              <w:left w:val="single" w:sz="4" w:space="0" w:color="auto"/>
              <w:right w:val="single" w:sz="4" w:space="0" w:color="auto"/>
            </w:tcBorders>
            <w:shd w:val="clear" w:color="auto" w:fill="FFFFFF"/>
          </w:tcPr>
          <w:p w:rsidR="00DA56DF" w:rsidRDefault="00117592">
            <w:pPr>
              <w:jc w:val="both"/>
              <w:rPr>
                <w:szCs w:val="24"/>
              </w:rPr>
            </w:pPr>
            <w:r>
              <w:t xml:space="preserve">Топливо </w:t>
            </w:r>
            <w:r>
              <w:rPr>
                <w:lang w:val="en-US"/>
              </w:rPr>
              <w:t>T</w:t>
            </w:r>
            <w:r>
              <w:t>-1</w:t>
            </w:r>
          </w:p>
        </w:tc>
        <w:tc>
          <w:tcPr>
            <w:tcW w:w="2845" w:type="dxa"/>
            <w:tcBorders>
              <w:left w:val="single" w:sz="4" w:space="0" w:color="auto"/>
              <w:right w:val="single" w:sz="4" w:space="0" w:color="auto"/>
            </w:tcBorders>
            <w:shd w:val="clear" w:color="auto" w:fill="FFFFFF"/>
          </w:tcPr>
          <w:p w:rsidR="00DA56DF" w:rsidRDefault="00117592">
            <w:pPr>
              <w:jc w:val="center"/>
              <w:rPr>
                <w:szCs w:val="24"/>
              </w:rPr>
            </w:pPr>
            <w:r>
              <w:t>от 0,0229 до 0,0240</w:t>
            </w:r>
          </w:p>
        </w:tc>
        <w:tc>
          <w:tcPr>
            <w:tcW w:w="2438" w:type="dxa"/>
            <w:vMerge/>
            <w:tcBorders>
              <w:left w:val="single" w:sz="4" w:space="0" w:color="auto"/>
              <w:right w:val="single" w:sz="4" w:space="0" w:color="auto"/>
            </w:tcBorders>
            <w:shd w:val="clear" w:color="auto" w:fill="FFFFFF"/>
          </w:tcPr>
          <w:p w:rsidR="00DA56DF" w:rsidRDefault="00DA56DF">
            <w:pPr>
              <w:jc w:val="both"/>
              <w:rPr>
                <w:szCs w:val="24"/>
              </w:rPr>
            </w:pPr>
          </w:p>
        </w:tc>
      </w:tr>
      <w:tr w:rsidR="00DA56DF">
        <w:trPr>
          <w:cantSplit/>
        </w:trPr>
        <w:tc>
          <w:tcPr>
            <w:tcW w:w="3088" w:type="dxa"/>
            <w:tcBorders>
              <w:left w:val="single" w:sz="4" w:space="0" w:color="auto"/>
              <w:bottom w:val="single" w:sz="4" w:space="0" w:color="auto"/>
              <w:right w:val="single" w:sz="4" w:space="0" w:color="auto"/>
            </w:tcBorders>
            <w:shd w:val="clear" w:color="auto" w:fill="FFFFFF"/>
          </w:tcPr>
          <w:p w:rsidR="00DA56DF" w:rsidRDefault="00117592">
            <w:pPr>
              <w:jc w:val="both"/>
              <w:rPr>
                <w:szCs w:val="24"/>
              </w:rPr>
            </w:pPr>
            <w:r>
              <w:t>Топливо дизельное</w:t>
            </w:r>
          </w:p>
        </w:tc>
        <w:tc>
          <w:tcPr>
            <w:tcW w:w="2845" w:type="dxa"/>
            <w:tcBorders>
              <w:left w:val="single" w:sz="4" w:space="0" w:color="auto"/>
              <w:bottom w:val="single" w:sz="4" w:space="0" w:color="auto"/>
              <w:right w:val="single" w:sz="4" w:space="0" w:color="auto"/>
            </w:tcBorders>
            <w:shd w:val="clear" w:color="auto" w:fill="FFFFFF"/>
          </w:tcPr>
          <w:p w:rsidR="00DA56DF" w:rsidRDefault="00117592">
            <w:pPr>
              <w:jc w:val="center"/>
              <w:rPr>
                <w:szCs w:val="24"/>
              </w:rPr>
            </w:pPr>
            <w:r>
              <w:rPr>
                <w:szCs w:val="28"/>
              </w:rPr>
              <w:t>от 0,0224 до 0,0259</w:t>
            </w:r>
          </w:p>
        </w:tc>
        <w:tc>
          <w:tcPr>
            <w:tcW w:w="2438" w:type="dxa"/>
            <w:vMerge/>
            <w:tcBorders>
              <w:left w:val="single" w:sz="4" w:space="0" w:color="auto"/>
              <w:bottom w:val="single" w:sz="4" w:space="0" w:color="auto"/>
              <w:right w:val="single" w:sz="4" w:space="0" w:color="auto"/>
            </w:tcBorders>
            <w:shd w:val="clear" w:color="auto" w:fill="FFFFFF"/>
          </w:tcPr>
          <w:p w:rsidR="00DA56DF" w:rsidRDefault="00DA56DF">
            <w:pPr>
              <w:jc w:val="both"/>
              <w:rPr>
                <w:szCs w:val="24"/>
              </w:rPr>
            </w:pPr>
          </w:p>
        </w:tc>
      </w:tr>
    </w:tbl>
    <w:p w:rsidR="00DA56DF" w:rsidRDefault="00DA56DF">
      <w:pPr>
        <w:ind w:firstLine="284"/>
        <w:jc w:val="both"/>
        <w:sectPr w:rsidR="00DA56DF">
          <w:footerReference w:type="first" r:id="rId21"/>
          <w:type w:val="continuous"/>
          <w:pgSz w:w="11909" w:h="16834" w:code="9"/>
          <w:pgMar w:top="1440" w:right="1797" w:bottom="1440" w:left="1797" w:header="720" w:footer="720" w:gutter="0"/>
          <w:cols w:space="720"/>
          <w:noEndnote/>
          <w:titlePg/>
        </w:sectPr>
      </w:pPr>
    </w:p>
    <w:p w:rsidR="00DA56DF" w:rsidRDefault="00117592">
      <w:pPr>
        <w:ind w:firstLine="284"/>
        <w:jc w:val="right"/>
        <w:rPr>
          <w:i/>
          <w:iCs/>
        </w:rPr>
      </w:pPr>
      <w:r>
        <w:rPr>
          <w:i/>
          <w:iCs/>
        </w:rPr>
        <w:lastRenderedPageBreak/>
        <w:t>ПРИЛОЖЕНИЕ 5</w:t>
      </w:r>
    </w:p>
    <w:p w:rsidR="00DA56DF" w:rsidRDefault="00117592">
      <w:pPr>
        <w:ind w:firstLine="284"/>
        <w:jc w:val="center"/>
        <w:rPr>
          <w:b/>
          <w:bCs/>
          <w:szCs w:val="24"/>
        </w:rPr>
      </w:pPr>
      <w:r>
        <w:rPr>
          <w:b/>
          <w:bCs/>
        </w:rPr>
        <w:t>НОМОГРАММЫ ДЛЯ ОПРЕДЕЛЕНИЯ ПЛОТНОСТИ ЗАРЯДА</w:t>
      </w:r>
    </w:p>
    <w:p w:rsidR="00DA56DF" w:rsidRDefault="00DA56DF">
      <w:pPr>
        <w:ind w:firstLine="284"/>
        <w:jc w:val="both"/>
        <w:rPr>
          <w:szCs w:val="24"/>
        </w:rPr>
      </w:pPr>
    </w:p>
    <w:p w:rsidR="00DA56DF" w:rsidRDefault="00E63CA8">
      <w:pPr>
        <w:jc w:val="center"/>
        <w:rPr>
          <w:szCs w:val="24"/>
        </w:rPr>
      </w:pPr>
      <w:r>
        <w:rPr>
          <w:noProof/>
          <w:szCs w:val="24"/>
        </w:rPr>
        <w:drawing>
          <wp:inline distT="0" distB="0" distL="0" distR="0">
            <wp:extent cx="8096250" cy="5200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96250" cy="5200650"/>
                    </a:xfrm>
                    <a:prstGeom prst="rect">
                      <a:avLst/>
                    </a:prstGeom>
                    <a:noFill/>
                    <a:ln>
                      <a:noFill/>
                    </a:ln>
                  </pic:spPr>
                </pic:pic>
              </a:graphicData>
            </a:graphic>
          </wp:inline>
        </w:drawing>
      </w:r>
    </w:p>
    <w:p w:rsidR="00DA56DF" w:rsidRDefault="00DA56DF">
      <w:pPr>
        <w:jc w:val="center"/>
      </w:pPr>
    </w:p>
    <w:p w:rsidR="00DA56DF" w:rsidRDefault="00117592">
      <w:pPr>
        <w:jc w:val="center"/>
      </w:pPr>
      <w:r>
        <w:t>Номограмма 1</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8477250" cy="55054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477250" cy="550545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34"/>
        </w:rPr>
      </w:pPr>
      <w:r>
        <w:rPr>
          <w:szCs w:val="34"/>
        </w:rPr>
        <w:t>Номограмма 2</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8477250" cy="5486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77250" cy="548640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pPr>
      <w:r>
        <w:t>Номограмма 3</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8477250" cy="54197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477250" cy="5419725"/>
                    </a:xfrm>
                    <a:prstGeom prst="rect">
                      <a:avLst/>
                    </a:prstGeom>
                    <a:noFill/>
                    <a:ln>
                      <a:noFill/>
                    </a:ln>
                  </pic:spPr>
                </pic:pic>
              </a:graphicData>
            </a:graphic>
          </wp:inline>
        </w:drawing>
      </w:r>
    </w:p>
    <w:p w:rsidR="00DA56DF" w:rsidRDefault="00DA56DF">
      <w:pPr>
        <w:jc w:val="center"/>
      </w:pPr>
    </w:p>
    <w:p w:rsidR="00DA56DF" w:rsidRDefault="00117592">
      <w:pPr>
        <w:jc w:val="center"/>
      </w:pPr>
      <w:r>
        <w:t>Номограмма 4</w:t>
      </w:r>
    </w:p>
    <w:p w:rsidR="00DA56DF" w:rsidRDefault="00DA56DF">
      <w:pPr>
        <w:ind w:firstLine="284"/>
        <w:jc w:val="both"/>
        <w:rPr>
          <w:szCs w:val="24"/>
        </w:rPr>
        <w:sectPr w:rsidR="00DA56DF">
          <w:pgSz w:w="16834" w:h="11909" w:orient="landscape" w:code="9"/>
          <w:pgMar w:top="1134" w:right="1134" w:bottom="1134" w:left="1134" w:header="720" w:footer="720" w:gutter="0"/>
          <w:cols w:space="720"/>
          <w:noEndnote/>
        </w:sectPr>
      </w:pPr>
    </w:p>
    <w:p w:rsidR="00DA56DF" w:rsidRDefault="00117592">
      <w:pPr>
        <w:ind w:firstLine="284"/>
        <w:jc w:val="right"/>
        <w:rPr>
          <w:i/>
          <w:iCs/>
          <w:szCs w:val="24"/>
        </w:rPr>
      </w:pPr>
      <w:r>
        <w:rPr>
          <w:i/>
          <w:iCs/>
          <w:szCs w:val="24"/>
        </w:rPr>
        <w:lastRenderedPageBreak/>
        <w:t>ПРИЛОЖЕНИЕ 6</w:t>
      </w:r>
    </w:p>
    <w:p w:rsidR="00DA56DF" w:rsidRDefault="00DA56DF">
      <w:pPr>
        <w:ind w:firstLine="284"/>
        <w:jc w:val="both"/>
        <w:rPr>
          <w:i/>
          <w:iCs/>
          <w:szCs w:val="24"/>
        </w:rPr>
      </w:pPr>
    </w:p>
    <w:p w:rsidR="00DA56DF" w:rsidRDefault="00117592">
      <w:pPr>
        <w:ind w:firstLine="284"/>
        <w:jc w:val="center"/>
        <w:rPr>
          <w:b/>
          <w:bCs/>
          <w:vertAlign w:val="superscript"/>
        </w:rPr>
      </w:pPr>
      <w:r>
        <w:rPr>
          <w:b/>
          <w:bCs/>
        </w:rPr>
        <w:t>НОМОГРАММЫ ДЛЯ ОПРЕДЕЛЕНИЯ ДОПУСТИМЫХ СКОРОСТЕЙ НАЛИВА ГОРИЗОНТАЛЬНЫХ РЕЗЕРВУАРОВ, АВТОМОБИЛЬНЫХ ЦИСТЕРН ВМЕСТИМОСТЬЮ ОТ 4 ДО 8 М</w:t>
      </w:r>
      <w:r>
        <w:rPr>
          <w:b/>
          <w:bCs/>
          <w:vertAlign w:val="superscript"/>
        </w:rPr>
        <w:t>3</w:t>
      </w:r>
      <w:r>
        <w:rPr>
          <w:b/>
          <w:bCs/>
        </w:rPr>
        <w:t>, ЖЕЛЕЗНОДОРОЖНЫХ ЦИСТЕРН ВМЕСТИМОСТЬЮ ОТ 25 ДО 90 М</w:t>
      </w:r>
      <w:r>
        <w:rPr>
          <w:b/>
          <w:bCs/>
          <w:vertAlign w:val="superscript"/>
        </w:rPr>
        <w:t>3</w:t>
      </w:r>
    </w:p>
    <w:p w:rsidR="00DA56DF" w:rsidRDefault="00DA56DF">
      <w:pPr>
        <w:ind w:firstLine="284"/>
        <w:jc w:val="center"/>
        <w:rPr>
          <w:szCs w:val="24"/>
        </w:rPr>
      </w:pPr>
    </w:p>
    <w:p w:rsidR="00DA56DF" w:rsidRDefault="00E63CA8">
      <w:pPr>
        <w:jc w:val="center"/>
        <w:rPr>
          <w:szCs w:val="24"/>
        </w:rPr>
      </w:pPr>
      <w:r>
        <w:rPr>
          <w:noProof/>
          <w:szCs w:val="24"/>
        </w:rPr>
        <w:drawing>
          <wp:inline distT="0" distB="0" distL="0" distR="0">
            <wp:extent cx="7648575" cy="47625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48575" cy="476250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pPr>
      <w:r>
        <w:t>Номограмма 5</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8839200" cy="55340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39200" cy="5534025"/>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pPr>
      <w:r>
        <w:t>Номограмма 6</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8848725" cy="55054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48725" cy="5505450"/>
                    </a:xfrm>
                    <a:prstGeom prst="rect">
                      <a:avLst/>
                    </a:prstGeom>
                    <a:noFill/>
                    <a:ln>
                      <a:noFill/>
                    </a:ln>
                  </pic:spPr>
                </pic:pic>
              </a:graphicData>
            </a:graphic>
          </wp:inline>
        </w:drawing>
      </w:r>
    </w:p>
    <w:p w:rsidR="00DA56DF" w:rsidRDefault="00DA56DF">
      <w:pPr>
        <w:jc w:val="center"/>
        <w:rPr>
          <w:szCs w:val="34"/>
        </w:rPr>
      </w:pPr>
    </w:p>
    <w:p w:rsidR="00DA56DF" w:rsidRDefault="00117592">
      <w:pPr>
        <w:jc w:val="center"/>
        <w:rPr>
          <w:szCs w:val="34"/>
        </w:rPr>
      </w:pPr>
      <w:r>
        <w:rPr>
          <w:szCs w:val="34"/>
        </w:rPr>
        <w:t>Номограмма 7</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8839200" cy="5562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39200" cy="556260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4"/>
        </w:rPr>
      </w:pPr>
      <w:r>
        <w:t>Номограмма 8</w:t>
      </w:r>
    </w:p>
    <w:p w:rsidR="00DA56DF" w:rsidRDefault="00E63CA8">
      <w:pPr>
        <w:jc w:val="center"/>
        <w:rPr>
          <w:szCs w:val="24"/>
        </w:rPr>
      </w:pPr>
      <w:r>
        <w:rPr>
          <w:noProof/>
          <w:szCs w:val="24"/>
        </w:rPr>
        <w:lastRenderedPageBreak/>
        <w:drawing>
          <wp:inline distT="0" distB="0" distL="0" distR="0">
            <wp:extent cx="9239250" cy="46196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39250" cy="4619625"/>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pPr>
      <w:r>
        <w:t>Номограмма 9</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9239250" cy="44862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39250" cy="4486275"/>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pPr>
      <w:r>
        <w:t>Номограмма 10</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9248775" cy="45720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48775" cy="457200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8"/>
        </w:rPr>
      </w:pPr>
      <w:r>
        <w:rPr>
          <w:szCs w:val="28"/>
        </w:rPr>
        <w:t>Номограмма 11</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9248775" cy="44958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248775" cy="449580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4"/>
        </w:rPr>
      </w:pPr>
      <w:r>
        <w:rPr>
          <w:szCs w:val="24"/>
        </w:rPr>
        <w:t>Номограмма 12</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9248775" cy="46005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48775" cy="4600575"/>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8"/>
        </w:rPr>
      </w:pPr>
      <w:r>
        <w:rPr>
          <w:szCs w:val="28"/>
        </w:rPr>
        <w:t>Номограмма 13</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9248775" cy="45720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48775" cy="457200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4"/>
        </w:rPr>
      </w:pPr>
      <w:r>
        <w:rPr>
          <w:szCs w:val="24"/>
        </w:rPr>
        <w:t>Номограмма 14</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9239250" cy="46196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39250" cy="4619625"/>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4"/>
        </w:rPr>
      </w:pPr>
      <w:r>
        <w:rPr>
          <w:szCs w:val="24"/>
        </w:rPr>
        <w:t>Номограмма 15</w:t>
      </w:r>
    </w:p>
    <w:p w:rsidR="00DA56DF" w:rsidRDefault="00DA56DF">
      <w:pPr>
        <w:jc w:val="center"/>
        <w:rPr>
          <w:szCs w:val="24"/>
        </w:rPr>
      </w:pPr>
    </w:p>
    <w:p w:rsidR="00DA56DF" w:rsidRDefault="00E63CA8">
      <w:pPr>
        <w:jc w:val="center"/>
        <w:rPr>
          <w:szCs w:val="24"/>
        </w:rPr>
      </w:pPr>
      <w:r>
        <w:rPr>
          <w:noProof/>
          <w:szCs w:val="24"/>
        </w:rPr>
        <w:lastRenderedPageBreak/>
        <w:drawing>
          <wp:inline distT="0" distB="0" distL="0" distR="0">
            <wp:extent cx="9239250" cy="46005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239250" cy="4600575"/>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8"/>
        </w:rPr>
      </w:pPr>
      <w:r>
        <w:rPr>
          <w:szCs w:val="28"/>
        </w:rPr>
        <w:t>Номограмма 16</w:t>
      </w:r>
    </w:p>
    <w:p w:rsidR="00DA56DF" w:rsidRDefault="00DA56DF">
      <w:pPr>
        <w:ind w:firstLine="284"/>
        <w:jc w:val="both"/>
        <w:rPr>
          <w:szCs w:val="24"/>
        </w:rPr>
        <w:sectPr w:rsidR="00DA56DF">
          <w:pgSz w:w="16834" w:h="11909" w:orient="landscape" w:code="9"/>
          <w:pgMar w:top="1134" w:right="1134" w:bottom="1134" w:left="1134" w:header="720" w:footer="720" w:gutter="0"/>
          <w:cols w:space="720"/>
          <w:noEndnote/>
        </w:sectPr>
      </w:pPr>
    </w:p>
    <w:p w:rsidR="00DA56DF" w:rsidRDefault="00117592">
      <w:pPr>
        <w:ind w:firstLine="284"/>
        <w:jc w:val="right"/>
        <w:rPr>
          <w:i/>
          <w:iCs/>
          <w:szCs w:val="34"/>
        </w:rPr>
      </w:pPr>
      <w:r>
        <w:rPr>
          <w:i/>
          <w:iCs/>
          <w:szCs w:val="34"/>
        </w:rPr>
        <w:lastRenderedPageBreak/>
        <w:t>ПРИЛОЖЕНИЕ 7</w:t>
      </w:r>
    </w:p>
    <w:p w:rsidR="00DA56DF" w:rsidRDefault="00DA56DF">
      <w:pPr>
        <w:ind w:firstLine="284"/>
        <w:jc w:val="both"/>
        <w:rPr>
          <w:szCs w:val="24"/>
        </w:rPr>
      </w:pPr>
    </w:p>
    <w:p w:rsidR="00DA56DF" w:rsidRDefault="00117592">
      <w:pPr>
        <w:ind w:firstLine="284"/>
        <w:jc w:val="center"/>
        <w:rPr>
          <w:b/>
          <w:bCs/>
          <w:szCs w:val="24"/>
        </w:rPr>
      </w:pPr>
      <w:r>
        <w:rPr>
          <w:b/>
          <w:bCs/>
          <w:szCs w:val="34"/>
        </w:rPr>
        <w:t>НОМОГРАММЫ ДЛЯ ОПРЕДЕЛЕНИЯ ДОПУСТИМОЙ СКОРОСТИ НЕФТЕПРОДУКТА ПРИ ЗАПОЛНЕНИИ БОКОВЫМ СПОСОБОМ НАЛИВА РЕЗЕРВУАРОВ И ТРАНСПОРТНЫХ ЕМКОСТЕЙ НИЖНИМ СПОСОБОМ НАЛИВА</w:t>
      </w:r>
    </w:p>
    <w:p w:rsidR="00DA56DF" w:rsidRDefault="00DA56DF">
      <w:pPr>
        <w:ind w:firstLine="284"/>
        <w:jc w:val="both"/>
        <w:rPr>
          <w:szCs w:val="24"/>
        </w:rPr>
      </w:pPr>
    </w:p>
    <w:p w:rsidR="00DA56DF" w:rsidRDefault="00E63CA8">
      <w:pPr>
        <w:jc w:val="center"/>
        <w:rPr>
          <w:szCs w:val="24"/>
        </w:rPr>
      </w:pPr>
      <w:r>
        <w:rPr>
          <w:noProof/>
          <w:szCs w:val="24"/>
        </w:rPr>
        <w:drawing>
          <wp:inline distT="0" distB="0" distL="0" distR="0">
            <wp:extent cx="7772400" cy="49339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772400" cy="493395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4"/>
        </w:rPr>
      </w:pPr>
      <w:r>
        <w:rPr>
          <w:szCs w:val="34"/>
        </w:rPr>
        <w:t>Номограмма 17</w:t>
      </w:r>
    </w:p>
    <w:p w:rsidR="00DA56DF" w:rsidRDefault="00DA56DF">
      <w:pPr>
        <w:jc w:val="center"/>
        <w:rPr>
          <w:szCs w:val="24"/>
        </w:rPr>
      </w:pPr>
    </w:p>
    <w:p w:rsidR="00DA56DF" w:rsidRDefault="00E63CA8">
      <w:pPr>
        <w:jc w:val="center"/>
        <w:rPr>
          <w:szCs w:val="24"/>
        </w:rPr>
      </w:pPr>
      <w:r>
        <w:rPr>
          <w:noProof/>
          <w:szCs w:val="24"/>
        </w:rPr>
        <w:drawing>
          <wp:inline distT="0" distB="0" distL="0" distR="0">
            <wp:extent cx="8734425" cy="5495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734425" cy="5495925"/>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4"/>
        </w:rPr>
      </w:pPr>
      <w:r>
        <w:rPr>
          <w:szCs w:val="32"/>
        </w:rPr>
        <w:t>Номограмма 18</w:t>
      </w:r>
    </w:p>
    <w:p w:rsidR="00DA56DF" w:rsidRDefault="00DA56DF">
      <w:pPr>
        <w:jc w:val="center"/>
        <w:rPr>
          <w:szCs w:val="24"/>
        </w:rPr>
      </w:pPr>
    </w:p>
    <w:p w:rsidR="00DA56DF" w:rsidRDefault="00E63CA8">
      <w:pPr>
        <w:jc w:val="center"/>
        <w:rPr>
          <w:szCs w:val="24"/>
        </w:rPr>
      </w:pPr>
      <w:r>
        <w:rPr>
          <w:noProof/>
          <w:szCs w:val="24"/>
        </w:rPr>
        <w:drawing>
          <wp:inline distT="0" distB="0" distL="0" distR="0">
            <wp:extent cx="8867775" cy="56197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67775" cy="5619750"/>
                    </a:xfrm>
                    <a:prstGeom prst="rect">
                      <a:avLst/>
                    </a:prstGeom>
                    <a:noFill/>
                    <a:ln>
                      <a:noFill/>
                    </a:ln>
                  </pic:spPr>
                </pic:pic>
              </a:graphicData>
            </a:graphic>
          </wp:inline>
        </w:drawing>
      </w:r>
    </w:p>
    <w:p w:rsidR="00DA56DF" w:rsidRDefault="00DA56DF">
      <w:pPr>
        <w:jc w:val="center"/>
        <w:rPr>
          <w:szCs w:val="24"/>
        </w:rPr>
      </w:pPr>
    </w:p>
    <w:p w:rsidR="00DA56DF" w:rsidRDefault="00117592">
      <w:pPr>
        <w:jc w:val="center"/>
        <w:rPr>
          <w:szCs w:val="24"/>
        </w:rPr>
      </w:pPr>
      <w:r>
        <w:rPr>
          <w:szCs w:val="32"/>
        </w:rPr>
        <w:t>Номограмма 19</w:t>
      </w:r>
    </w:p>
    <w:p w:rsidR="00DA56DF" w:rsidRDefault="00DA56DF">
      <w:pPr>
        <w:jc w:val="center"/>
        <w:rPr>
          <w:szCs w:val="24"/>
        </w:rPr>
      </w:pPr>
    </w:p>
    <w:p w:rsidR="00DA56DF" w:rsidRDefault="00E63CA8">
      <w:pPr>
        <w:jc w:val="center"/>
        <w:rPr>
          <w:szCs w:val="24"/>
        </w:rPr>
      </w:pPr>
      <w:r>
        <w:rPr>
          <w:noProof/>
          <w:szCs w:val="24"/>
        </w:rPr>
        <w:drawing>
          <wp:inline distT="0" distB="0" distL="0" distR="0">
            <wp:extent cx="8858250" cy="55816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858250" cy="5581650"/>
                    </a:xfrm>
                    <a:prstGeom prst="rect">
                      <a:avLst/>
                    </a:prstGeom>
                    <a:noFill/>
                    <a:ln>
                      <a:noFill/>
                    </a:ln>
                  </pic:spPr>
                </pic:pic>
              </a:graphicData>
            </a:graphic>
          </wp:inline>
        </w:drawing>
      </w:r>
    </w:p>
    <w:p w:rsidR="00DA56DF" w:rsidRDefault="00DA56DF">
      <w:pPr>
        <w:jc w:val="center"/>
        <w:rPr>
          <w:szCs w:val="24"/>
        </w:rPr>
      </w:pPr>
    </w:p>
    <w:p w:rsidR="00117592" w:rsidRDefault="00117592" w:rsidP="00CD766F">
      <w:pPr>
        <w:jc w:val="center"/>
        <w:rPr>
          <w:szCs w:val="24"/>
        </w:rPr>
      </w:pPr>
      <w:r>
        <w:rPr>
          <w:szCs w:val="28"/>
        </w:rPr>
        <w:t>Номограмма 20</w:t>
      </w:r>
    </w:p>
    <w:sectPr w:rsidR="00117592" w:rsidSect="00CD766F">
      <w:pgSz w:w="16834" w:h="11909" w:orient="landscape" w:code="9"/>
      <w:pgMar w:top="1797" w:right="1440" w:bottom="568"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3D9" w:rsidRDefault="009603D9">
      <w:r>
        <w:separator/>
      </w:r>
    </w:p>
  </w:endnote>
  <w:endnote w:type="continuationSeparator" w:id="0">
    <w:p w:rsidR="009603D9" w:rsidRDefault="0096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6DF" w:rsidRDefault="00DA56DF">
    <w:pPr>
      <w:pStyle w:val="a4"/>
      <w:rPr>
        <w:color w:val="C0C0C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3D9" w:rsidRDefault="009603D9">
      <w:r>
        <w:separator/>
      </w:r>
    </w:p>
  </w:footnote>
  <w:footnote w:type="continuationSeparator" w:id="0">
    <w:p w:rsidR="009603D9" w:rsidRDefault="00960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CA8"/>
    <w:rsid w:val="00117592"/>
    <w:rsid w:val="008550AE"/>
    <w:rsid w:val="009603D9"/>
    <w:rsid w:val="00CD766F"/>
    <w:rsid w:val="00DA56DF"/>
    <w:rsid w:val="00E63CA8"/>
    <w:rsid w:val="00FA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CD766F"/>
    <w:rPr>
      <w:rFonts w:ascii="Tahoma" w:hAnsi="Tahoma" w:cs="Tahoma"/>
      <w:sz w:val="16"/>
      <w:szCs w:val="16"/>
    </w:rPr>
  </w:style>
  <w:style w:type="character" w:customStyle="1" w:styleId="a7">
    <w:name w:val="Текст выноски Знак"/>
    <w:basedOn w:val="a0"/>
    <w:link w:val="a6"/>
    <w:uiPriority w:val="99"/>
    <w:semiHidden/>
    <w:rsid w:val="00CD76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CD766F"/>
    <w:rPr>
      <w:rFonts w:ascii="Tahoma" w:hAnsi="Tahoma" w:cs="Tahoma"/>
      <w:sz w:val="16"/>
      <w:szCs w:val="16"/>
    </w:rPr>
  </w:style>
  <w:style w:type="character" w:customStyle="1" w:styleId="a7">
    <w:name w:val="Текст выноски Знак"/>
    <w:basedOn w:val="a0"/>
    <w:link w:val="a6"/>
    <w:uiPriority w:val="99"/>
    <w:semiHidden/>
    <w:rsid w:val="00CD76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hyperlink" Target="https://fireman.club/normative-documents/gost-12-1-018-93-ssbt-pozharovzryivobezopasnost-stat-elektrichestva/"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wmf"/><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34</Pages>
  <Words>3166</Words>
  <Characters>18049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Рекомендации по предотвращению опасной электризации нефтепродуктов при наливе в вертикальные и горизонтальные резервуары</vt:lpstr>
    </vt:vector>
  </TitlesOfParts>
  <LinksUpToDate>false</LinksUpToDate>
  <CharactersWithSpaces>21173</CharactersWithSpaces>
  <SharedDoc>false</SharedDoc>
  <HLinks>
    <vt:vector size="6" baseType="variant">
      <vt:variant>
        <vt:i4>7798821</vt:i4>
      </vt:variant>
      <vt:variant>
        <vt:i4>0</vt:i4>
      </vt:variant>
      <vt:variant>
        <vt:i4>0</vt:i4>
      </vt:variant>
      <vt:variant>
        <vt:i4>5</vt:i4>
      </vt:variant>
      <vt:variant>
        <vt:lpwstr>http://www.snti.ru/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2019-05-12T10:15:00Z</dcterms:created>
  <dcterms:modified xsi:type="dcterms:W3CDTF">2019-06-13T21:26:00Z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Ссылка">
    <vt:lpwstr>http://www.snti.ru/</vt:lpwstr>
  </property>
</Properties>
</file>