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C0" w:rsidRDefault="00651744" w:rsidP="00EC0B7E">
      <w:pPr>
        <w:jc w:val="center"/>
        <w:rPr>
          <w:bCs/>
          <w:lang w:val="en-US"/>
        </w:rPr>
      </w:pPr>
      <w:r>
        <w:rPr>
          <w:bCs/>
        </w:rPr>
        <w:t>ОРДЕНА ТРУДОВОГО КРАСНОГО ЗНАМЕНИ ЦЕНТРАЛЬНЫЙ НАУЧНО-ИССЛЕДОВАТЕЛЬСКИЙ ИНСТИТУТ СТРОИТЕЛЬНЫХ КОНСТРУКЦИЙ</w:t>
      </w:r>
      <w:r w:rsidR="00EC0B7E">
        <w:rPr>
          <w:bCs/>
        </w:rPr>
        <w:br/>
      </w:r>
      <w:r>
        <w:rPr>
          <w:bCs/>
        </w:rPr>
        <w:t>им. В.А. КУЧЕРЕНКО</w:t>
      </w:r>
    </w:p>
    <w:p w:rsidR="000000C0" w:rsidRDefault="000000C0" w:rsidP="00EC0B7E">
      <w:pPr>
        <w:jc w:val="center"/>
        <w:rPr>
          <w:bCs/>
          <w:lang w:val="en-US"/>
        </w:rPr>
      </w:pPr>
    </w:p>
    <w:p w:rsidR="000000C0" w:rsidRDefault="00651744" w:rsidP="00EC0B7E">
      <w:pPr>
        <w:jc w:val="center"/>
        <w:rPr>
          <w:bCs/>
          <w:lang w:val="en-US"/>
        </w:rPr>
      </w:pPr>
      <w:r>
        <w:rPr>
          <w:bCs/>
        </w:rPr>
        <w:t>ГОССТРОЯ СССР</w:t>
      </w:r>
    </w:p>
    <w:p w:rsidR="000000C0" w:rsidRDefault="000000C0" w:rsidP="00EC0B7E">
      <w:pPr>
        <w:jc w:val="center"/>
        <w:rPr>
          <w:bCs/>
          <w:lang w:val="en-US"/>
        </w:rPr>
      </w:pPr>
    </w:p>
    <w:p w:rsidR="000000C0" w:rsidRDefault="000000C0" w:rsidP="00EC0B7E">
      <w:pPr>
        <w:jc w:val="center"/>
        <w:rPr>
          <w:bCs/>
          <w:lang w:val="en-US"/>
        </w:rPr>
      </w:pPr>
    </w:p>
    <w:p w:rsidR="000000C0" w:rsidRDefault="00651744" w:rsidP="00EC0B7E">
      <w:pPr>
        <w:jc w:val="center"/>
        <w:rPr>
          <w:b/>
        </w:rPr>
      </w:pPr>
      <w:r>
        <w:rPr>
          <w:b/>
        </w:rPr>
        <w:t>РЕКОМЕНДАЦИИ</w:t>
      </w:r>
      <w:r w:rsidR="00EC0B7E">
        <w:rPr>
          <w:b/>
        </w:rPr>
        <w:br/>
      </w:r>
      <w:r w:rsidRPr="00713C59">
        <w:rPr>
          <w:b/>
        </w:rPr>
        <w:t xml:space="preserve">ПО </w:t>
      </w:r>
      <w:hyperlink r:id="rId5" w:history="1">
        <w:r w:rsidRPr="00713C59">
          <w:rPr>
            <w:rStyle w:val="a3"/>
            <w:b/>
            <w:color w:val="auto"/>
            <w:u w:val="none"/>
          </w:rPr>
          <w:t>ПРИМЕНЕНИЮ ОГНЕЗАЩИТНЫХ ПОКРЫТИЙ</w:t>
        </w:r>
      </w:hyperlink>
      <w:r w:rsidRPr="00713C59">
        <w:rPr>
          <w:b/>
        </w:rPr>
        <w:t xml:space="preserve"> ДЛЯ ДЕРЕВЯННЫХ </w:t>
      </w:r>
      <w:r>
        <w:rPr>
          <w:b/>
        </w:rPr>
        <w:t>КОНСТРУКЦИЙ</w:t>
      </w:r>
    </w:p>
    <w:p w:rsidR="000000C0" w:rsidRDefault="000000C0" w:rsidP="00EC0B7E">
      <w:pPr>
        <w:jc w:val="center"/>
        <w:rPr>
          <w:bCs/>
          <w:iCs/>
          <w:lang w:val="en-US"/>
        </w:rPr>
      </w:pPr>
    </w:p>
    <w:p w:rsidR="000000C0" w:rsidRDefault="000000C0" w:rsidP="00EC0B7E">
      <w:pPr>
        <w:jc w:val="center"/>
        <w:rPr>
          <w:bCs/>
          <w:iCs/>
          <w:lang w:val="en-US"/>
        </w:rPr>
      </w:pPr>
    </w:p>
    <w:p w:rsidR="000000C0" w:rsidRDefault="00651744">
      <w:pPr>
        <w:ind w:firstLine="284"/>
        <w:jc w:val="both"/>
        <w:rPr>
          <w:bCs/>
          <w:iCs/>
        </w:rPr>
      </w:pPr>
      <w:r>
        <w:rPr>
          <w:bCs/>
          <w:iCs/>
        </w:rPr>
        <w:t>Утверждены Директором ЦНИИСК им. Кучеренко 16 декабря 1982 г.</w:t>
      </w:r>
    </w:p>
    <w:p w:rsidR="000000C0" w:rsidRDefault="000000C0">
      <w:pPr>
        <w:ind w:firstLine="284"/>
        <w:jc w:val="both"/>
        <w:rPr>
          <w:lang w:val="en-US"/>
        </w:rPr>
      </w:pPr>
      <w:bookmarkStart w:id="0" w:name="_GoBack"/>
      <w:bookmarkEnd w:id="0"/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both"/>
      </w:pPr>
      <w:r>
        <w:t>Рекомендованы к изданию решением секции легких конструкций НТС ЦНИИСК им. Кучеренко.</w:t>
      </w:r>
    </w:p>
    <w:p w:rsidR="000000C0" w:rsidRDefault="00651744">
      <w:pPr>
        <w:ind w:firstLine="284"/>
        <w:jc w:val="both"/>
      </w:pPr>
      <w:r>
        <w:t>В Рекомендациях описаны основные способы огнезащиты древесины в строительстве, нашедшие применение в практике отечественного строительства, приведены исходные данные для определения области применения и выбора варианта огнезащиты для конкретных условий изготовления и эксплуатации конструкций.</w:t>
      </w:r>
    </w:p>
    <w:p w:rsidR="000000C0" w:rsidRDefault="00651744">
      <w:pPr>
        <w:ind w:firstLine="284"/>
        <w:jc w:val="both"/>
      </w:pPr>
      <w:r>
        <w:t>Рекомендации предназначены для инженерно-технических работников проектных и строительных организаций.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center"/>
        <w:rPr>
          <w:b/>
          <w:bCs/>
        </w:rPr>
      </w:pPr>
      <w:r>
        <w:rPr>
          <w:b/>
          <w:bCs/>
        </w:rPr>
        <w:t>ПРЕДИСЛОВИЕ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both"/>
      </w:pPr>
      <w:r>
        <w:t xml:space="preserve">Настоящие Рекомендации содержат вспомогательные материалы к главе СНиП </w:t>
      </w:r>
      <w:r>
        <w:rPr>
          <w:lang w:val="en-US"/>
        </w:rPr>
        <w:t>II</w:t>
      </w:r>
      <w:r>
        <w:t xml:space="preserve">-2-80 </w:t>
      </w:r>
      <w:r w:rsidR="00EC0B7E">
        <w:t>«</w:t>
      </w:r>
      <w:r>
        <w:t>Противопожарные нормы проектирования зданий и сооружений в части огнезащиты древесины строительных конструкций. В этой главе приведены нормы минимальных пределов огнестойкости, максимальных пределов распространения огня по строительным конструкциям, нормы возгораемости строительных материалов, а также указаны случаи, в которых требуется огнезащита деревянных конструкций, но не оговорены требования к качеству огнезащиты.</w:t>
      </w:r>
    </w:p>
    <w:p w:rsidR="000000C0" w:rsidRDefault="00651744">
      <w:pPr>
        <w:ind w:firstLine="284"/>
        <w:jc w:val="both"/>
      </w:pPr>
      <w:r>
        <w:t>В условиях пожара незащищенные деревянные конструкции способствуют распространению огня. Для огнезащитной обработки древесины разработаны многочисленные рецептуры, которые имеют различные технико-экономические показатели и огнезащитную способность. Причем дорогостоящая и трудоемкая защита не всегда является достаточно эффективной.</w:t>
      </w:r>
    </w:p>
    <w:p w:rsidR="000000C0" w:rsidRDefault="00651744">
      <w:pPr>
        <w:ind w:firstLine="284"/>
        <w:jc w:val="both"/>
      </w:pPr>
      <w:r>
        <w:t>В Рекомендациях рассматриваются лишь те рецептуры, которые обладают достаточной огнезащитной способностью, использование</w:t>
      </w:r>
      <w:r>
        <w:rPr>
          <w:b/>
        </w:rPr>
        <w:t xml:space="preserve"> </w:t>
      </w:r>
      <w:r>
        <w:t>их дает возможность расширить область применения деревянных конструкций.</w:t>
      </w:r>
    </w:p>
    <w:p w:rsidR="000000C0" w:rsidRDefault="00651744">
      <w:pPr>
        <w:ind w:firstLine="284"/>
        <w:jc w:val="both"/>
      </w:pPr>
      <w:r>
        <w:t>В Рекомендациях не рассматриваются огнезащитные составы, эффективность которых недостаточно изучена и не доказана практикой строительства.</w:t>
      </w:r>
    </w:p>
    <w:p w:rsidR="000000C0" w:rsidRDefault="00651744">
      <w:pPr>
        <w:ind w:firstLine="284"/>
        <w:jc w:val="both"/>
      </w:pPr>
      <w:proofErr w:type="gramStart"/>
      <w:r>
        <w:t>Рекомендации разработаны лабораторией огнестойкости легких конструкций и материалов ЦНИИСК им. Кучеренко (</w:t>
      </w:r>
      <w:proofErr w:type="spellStart"/>
      <w:r>
        <w:t>инж</w:t>
      </w:r>
      <w:proofErr w:type="spellEnd"/>
      <w:r>
        <w:t>.</w:t>
      </w:r>
      <w:proofErr w:type="gramEnd"/>
      <w:r>
        <w:t xml:space="preserve"> Гуща Т.И., </w:t>
      </w:r>
      <w:proofErr w:type="spellStart"/>
      <w:r>
        <w:t>канд</w:t>
      </w:r>
      <w:proofErr w:type="gramStart"/>
      <w:r>
        <w:t>.т</w:t>
      </w:r>
      <w:proofErr w:type="gramEnd"/>
      <w:r>
        <w:t>ехн.наук</w:t>
      </w:r>
      <w:proofErr w:type="spellEnd"/>
      <w:r>
        <w:t xml:space="preserve"> </w:t>
      </w:r>
      <w:proofErr w:type="spellStart"/>
      <w:r>
        <w:t>Зигерн</w:t>
      </w:r>
      <w:proofErr w:type="spellEnd"/>
      <w:r>
        <w:t xml:space="preserve">-Корн В.Н., д-р </w:t>
      </w:r>
      <w:proofErr w:type="spellStart"/>
      <w:r>
        <w:t>техн</w:t>
      </w:r>
      <w:proofErr w:type="spellEnd"/>
      <w:r>
        <w:t xml:space="preserve">. наук </w:t>
      </w:r>
      <w:proofErr w:type="spellStart"/>
      <w:r>
        <w:t>Романенков</w:t>
      </w:r>
      <w:proofErr w:type="spellEnd"/>
      <w:r>
        <w:t xml:space="preserve"> И.Г., </w:t>
      </w:r>
      <w:proofErr w:type="spellStart"/>
      <w:r>
        <w:t>инж</w:t>
      </w:r>
      <w:proofErr w:type="spellEnd"/>
      <w:r>
        <w:t xml:space="preserve">. </w:t>
      </w:r>
      <w:proofErr w:type="spellStart"/>
      <w:r>
        <w:t>Виневская</w:t>
      </w:r>
      <w:proofErr w:type="spellEnd"/>
      <w:r>
        <w:t xml:space="preserve"> Л.Н.) при участии кандидатов </w:t>
      </w:r>
      <w:proofErr w:type="spellStart"/>
      <w:r>
        <w:t>техн</w:t>
      </w:r>
      <w:proofErr w:type="spellEnd"/>
      <w:r>
        <w:t xml:space="preserve">. наук Славика Ю.Ю., </w:t>
      </w:r>
      <w:proofErr w:type="spellStart"/>
      <w:r>
        <w:t>Мышеловой</w:t>
      </w:r>
      <w:proofErr w:type="spellEnd"/>
      <w:r>
        <w:t xml:space="preserve"> Г.Н., Сорина В.С., </w:t>
      </w:r>
      <w:proofErr w:type="spellStart"/>
      <w:r>
        <w:t>Ладыгиной</w:t>
      </w:r>
      <w:proofErr w:type="spellEnd"/>
      <w:r>
        <w:t xml:space="preserve"> И.Р., инженеров </w:t>
      </w:r>
      <w:proofErr w:type="spellStart"/>
      <w:r>
        <w:t>Ангаровой</w:t>
      </w:r>
      <w:proofErr w:type="spellEnd"/>
      <w:r>
        <w:t xml:space="preserve"> В.Л., Дерябиной Е.И. (ЦНИИСК им. Кучеренко), кандидатов </w:t>
      </w:r>
      <w:proofErr w:type="spellStart"/>
      <w:r>
        <w:t>техн</w:t>
      </w:r>
      <w:proofErr w:type="spellEnd"/>
      <w:r>
        <w:t xml:space="preserve">. наук Колгановой М.Н., </w:t>
      </w:r>
      <w:proofErr w:type="spellStart"/>
      <w:r>
        <w:t>Левитес</w:t>
      </w:r>
      <w:proofErr w:type="spellEnd"/>
      <w:r>
        <w:t xml:space="preserve"> Ф.А. (ВНИИПО МВД СССР), </w:t>
      </w:r>
      <w:proofErr w:type="spellStart"/>
      <w:r>
        <w:t>инж</w:t>
      </w:r>
      <w:proofErr w:type="spellEnd"/>
      <w:r>
        <w:t>. Трофимова А.А. (ЦНИИОМТП).</w:t>
      </w:r>
    </w:p>
    <w:p w:rsidR="000000C0" w:rsidRDefault="00651744">
      <w:pPr>
        <w:ind w:firstLine="284"/>
        <w:jc w:val="both"/>
      </w:pPr>
      <w:r>
        <w:t>Использованный в Рекомендациях те</w:t>
      </w:r>
      <w:proofErr w:type="gramStart"/>
      <w:r>
        <w:t>кст гл</w:t>
      </w:r>
      <w:proofErr w:type="gramEnd"/>
      <w:r>
        <w:t xml:space="preserve">авы СНиП </w:t>
      </w:r>
      <w:r>
        <w:rPr>
          <w:lang w:val="en-US"/>
        </w:rPr>
        <w:t>II</w:t>
      </w:r>
      <w:r>
        <w:t xml:space="preserve">-2-80 выделен вертикальной чертой на полях и его пункт имеет двойную нумерацию: сначала по Рекомендациям и затем в скобках по главе СНиП </w:t>
      </w:r>
      <w:r>
        <w:rPr>
          <w:lang w:val="en-US"/>
        </w:rPr>
        <w:t>II</w:t>
      </w:r>
      <w:r>
        <w:t>-2-80.</w:t>
      </w:r>
    </w:p>
    <w:p w:rsidR="000000C0" w:rsidRDefault="00651744">
      <w:pPr>
        <w:ind w:firstLine="284"/>
        <w:jc w:val="both"/>
      </w:pPr>
      <w:r>
        <w:t>Замечания и предложения по Рекомендациям просьба направлять по адресу: Москва, 109389, 2-я Институтская ул., дом 6, ЦНИИСК им. Кучеренко, лаборатория огнестойкости легких конструкций и материалов.</w:t>
      </w:r>
    </w:p>
    <w:p w:rsidR="000000C0" w:rsidRDefault="00651744">
      <w:pPr>
        <w:ind w:firstLine="284"/>
        <w:jc w:val="both"/>
      </w:pPr>
      <w:r>
        <w:t>Дирекция ЦНИИ строительных конструкций им. В.А. Кучеренко.</w:t>
      </w:r>
    </w:p>
    <w:p w:rsidR="000000C0" w:rsidRDefault="000000C0">
      <w:pPr>
        <w:ind w:firstLine="284"/>
        <w:jc w:val="both"/>
        <w:rPr>
          <w:lang w:val="en-US"/>
        </w:rPr>
        <w:sectPr w:rsidR="000000C0">
          <w:pgSz w:w="11906" w:h="16838" w:code="9"/>
          <w:pgMar w:top="1440" w:right="1797" w:bottom="1440" w:left="1797" w:header="720" w:footer="720" w:gutter="0"/>
          <w:cols w:space="720"/>
          <w:noEndnote/>
          <w:titlePg/>
        </w:sectPr>
      </w:pPr>
    </w:p>
    <w:p w:rsidR="000000C0" w:rsidRDefault="00651744">
      <w:pPr>
        <w:ind w:firstLine="284"/>
        <w:jc w:val="center"/>
        <w:rPr>
          <w:b/>
          <w:bCs/>
        </w:rPr>
      </w:pPr>
      <w:r>
        <w:rPr>
          <w:b/>
          <w:bCs/>
        </w:rPr>
        <w:lastRenderedPageBreak/>
        <w:t>1. ОБЩИЕ ПОЛОЖЕНИЯ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both"/>
      </w:pPr>
      <w:r>
        <w:t>1.1. В настоящих Рекомендациях приведены сведения о средствах огнезащиты деревянных конструкций, в том числе клееных.</w:t>
      </w:r>
    </w:p>
    <w:p w:rsidR="000000C0" w:rsidRDefault="00651744">
      <w:pPr>
        <w:ind w:firstLine="284"/>
        <w:jc w:val="both"/>
      </w:pPr>
      <w:r>
        <w:t>1.2. Незащищенная древесина относится к группе сгораемых материалов. Пожарная безопасность деревянных конструкций характеризуется пределом огнестойкости и пределом распространения огня.</w:t>
      </w:r>
    </w:p>
    <w:p w:rsidR="000000C0" w:rsidRDefault="00651744">
      <w:pPr>
        <w:pBdr>
          <w:left w:val="single" w:sz="6" w:space="4" w:color="auto"/>
        </w:pBdr>
        <w:ind w:firstLine="284"/>
        <w:jc w:val="both"/>
      </w:pPr>
      <w:r>
        <w:t xml:space="preserve">1.3. (2.5) Группы возгораемости строительных материалов определяются по стандарту СЭВ 382-76 </w:t>
      </w:r>
      <w:r w:rsidR="00EC0B7E">
        <w:t>«</w:t>
      </w:r>
      <w:r>
        <w:t>Противопожарные нормы строительного проектирования. Испытание строительных материалов на возгораемость. Определение группы несгораемых материалов</w:t>
      </w:r>
      <w:r w:rsidR="00EC0B7E">
        <w:t>»</w:t>
      </w:r>
      <w:r>
        <w:t xml:space="preserve"> и стандарту СЭВ 2437-80 Пожарная безопасность в строительстве. Возгораемость строительных материалов. Метод определения </w:t>
      </w:r>
      <w:proofErr w:type="spellStart"/>
      <w:r>
        <w:t>трудносгораемых</w:t>
      </w:r>
      <w:proofErr w:type="spellEnd"/>
      <w:r>
        <w:t xml:space="preserve"> материалов</w:t>
      </w:r>
      <w:r w:rsidR="00EC0B7E">
        <w:t>»</w:t>
      </w:r>
      <w:r>
        <w:t>.</w:t>
      </w:r>
    </w:p>
    <w:p w:rsidR="000000C0" w:rsidRDefault="00651744">
      <w:pPr>
        <w:ind w:firstLine="284"/>
        <w:jc w:val="both"/>
      </w:pPr>
      <w:r>
        <w:t xml:space="preserve">1.4. Для предварительной оценки эффективности огнезащитной обработки древесины в лабораторных условиях допускается проводить испытания </w:t>
      </w:r>
      <w:proofErr w:type="spellStart"/>
      <w:r>
        <w:t>огнезащищенной</w:t>
      </w:r>
      <w:proofErr w:type="spellEnd"/>
      <w:r>
        <w:t xml:space="preserve"> древесины по ГОСТ 16363-76 </w:t>
      </w:r>
      <w:r w:rsidR="00EC0B7E">
        <w:t>«</w:t>
      </w:r>
      <w:r>
        <w:t>Древесина. Определение огнезащитных свойств покрытий и пропиточных составов методом керамической трубы</w:t>
      </w:r>
      <w:r w:rsidR="00EC0B7E">
        <w:t>»</w:t>
      </w:r>
      <w:r>
        <w:t>.</w:t>
      </w:r>
    </w:p>
    <w:p w:rsidR="000000C0" w:rsidRDefault="00651744">
      <w:pPr>
        <w:pBdr>
          <w:left w:val="single" w:sz="6" w:space="4" w:color="auto"/>
        </w:pBdr>
        <w:ind w:firstLine="284"/>
        <w:jc w:val="both"/>
      </w:pPr>
      <w:r>
        <w:t xml:space="preserve">1.5. (2.3) Пределы огнестойкости строительных конструкций определяются по стандарту СЭВ 1000-78 </w:t>
      </w:r>
      <w:r w:rsidR="00EC0B7E">
        <w:t>«</w:t>
      </w:r>
      <w:r>
        <w:t>Противопожарные нормы строительного проектирования. Метод испытания строительных конструкций на огнестойкость</w:t>
      </w:r>
      <w:r w:rsidR="00EC0B7E">
        <w:t>»</w:t>
      </w:r>
      <w:r>
        <w:t>.</w:t>
      </w:r>
    </w:p>
    <w:p w:rsidR="000000C0" w:rsidRDefault="00651744">
      <w:pPr>
        <w:pBdr>
          <w:left w:val="single" w:sz="6" w:space="4" w:color="auto"/>
        </w:pBdr>
        <w:ind w:firstLine="284"/>
        <w:jc w:val="both"/>
      </w:pPr>
      <w:r>
        <w:t>Пределы распространения огня по строительным конструкциям определяются по методике, приведенной в приложении 2.</w:t>
      </w:r>
    </w:p>
    <w:p w:rsidR="000000C0" w:rsidRDefault="00651744">
      <w:pPr>
        <w:pBdr>
          <w:left w:val="single" w:sz="6" w:space="4" w:color="auto"/>
        </w:pBdr>
        <w:ind w:firstLine="284"/>
        <w:jc w:val="both"/>
      </w:pPr>
      <w:r>
        <w:t xml:space="preserve">1.6. (2.2) Минимальные пределы огнестойкости основных строительных конструкций, </w:t>
      </w:r>
      <w:proofErr w:type="gramStart"/>
      <w:r>
        <w:t>ч</w:t>
      </w:r>
      <w:proofErr w:type="gramEnd"/>
      <w:r>
        <w:t>, в зависимости от степени огнестойкости зданий и сооружений следует принимать по табл. 1.</w:t>
      </w:r>
    </w:p>
    <w:p w:rsidR="000000C0" w:rsidRDefault="00651744">
      <w:pPr>
        <w:pBdr>
          <w:left w:val="single" w:sz="6" w:space="4" w:color="auto"/>
        </w:pBdr>
        <w:ind w:firstLine="284"/>
        <w:jc w:val="both"/>
      </w:pPr>
      <w:r>
        <w:t xml:space="preserve">Максимальные пределы распространения огня по основным строительным конструкциям, </w:t>
      </w:r>
      <w:proofErr w:type="gramStart"/>
      <w:r>
        <w:t>см</w:t>
      </w:r>
      <w:proofErr w:type="gramEnd"/>
      <w:r>
        <w:t>, в зависимости от степени огнестойкости зданий и сооружений следует принимать по табл. 2.</w:t>
      </w:r>
    </w:p>
    <w:p w:rsidR="000000C0" w:rsidRDefault="00651744">
      <w:pPr>
        <w:pBdr>
          <w:left w:val="single" w:sz="6" w:space="4" w:color="auto"/>
        </w:pBdr>
        <w:ind w:firstLine="284"/>
        <w:jc w:val="both"/>
      </w:pPr>
      <w:r>
        <w:t xml:space="preserve">1.7. (2.7) Пределы огнестойкости (в часах) основных деревянных конструкций для одноэтажных производственных, складских, сельскохозяйственных зданий и сооружений </w:t>
      </w:r>
      <w:r>
        <w:rPr>
          <w:lang w:val="en-US"/>
        </w:rPr>
        <w:t>II</w:t>
      </w:r>
      <w:r>
        <w:t xml:space="preserve"> степени огнестойкости следует принимать по табл. 3.</w:t>
      </w:r>
    </w:p>
    <w:p w:rsidR="000000C0" w:rsidRDefault="00651744">
      <w:pPr>
        <w:ind w:firstLine="284"/>
        <w:jc w:val="both"/>
      </w:pPr>
      <w:r>
        <w:t xml:space="preserve">1.8. В соответствии с примечанием 1 к табл. 3 главы СНиП </w:t>
      </w:r>
      <w:r>
        <w:rPr>
          <w:lang w:val="en-US"/>
        </w:rPr>
        <w:t>II</w:t>
      </w:r>
      <w:r>
        <w:t>-2-80 в зданиях, перечисленных в п. 1.7 (2.7) с производствами категории</w:t>
      </w:r>
      <w:proofErr w:type="gramStart"/>
      <w:r>
        <w:t xml:space="preserve"> В</w:t>
      </w:r>
      <w:proofErr w:type="gramEnd"/>
      <w:r>
        <w:t>, клееные балки, фермы, арки, рамы и колонны зданий и сооружений следует применять с огнезащитной обработкой.</w:t>
      </w:r>
    </w:p>
    <w:p w:rsidR="000000C0" w:rsidRDefault="00651744">
      <w:pPr>
        <w:ind w:firstLine="284"/>
        <w:jc w:val="both"/>
      </w:pPr>
      <w:r>
        <w:t xml:space="preserve">1.9. В соответствии с примечанием 2 к табл. 3 главы СНиП </w:t>
      </w:r>
      <w:r>
        <w:rPr>
          <w:lang w:val="en-US"/>
        </w:rPr>
        <w:t>II</w:t>
      </w:r>
      <w:r>
        <w:t>-2-80 деревянные плиты, настилы и прогоны покрытий зданий и сооружений, перечисленных в п. 1.7 (2.7), а также элементы навесных панелей наружных стен и внутренних несущих стен (перегородок) этих зданий и сооружений должны быть подвергнуты глубокой пропитке антипиренами.</w:t>
      </w:r>
    </w:p>
    <w:p w:rsidR="000000C0" w:rsidRDefault="00651744">
      <w:pPr>
        <w:ind w:firstLine="284"/>
        <w:jc w:val="both"/>
      </w:pPr>
      <w:r>
        <w:t xml:space="preserve">1.10. Сведения о пределах огнестойкости наиболее распространенных деревянных конструкций, в том числе и оштукатуренных, приведены в </w:t>
      </w:r>
      <w:r w:rsidR="00EC0B7E">
        <w:t>«</w:t>
      </w:r>
      <w:r>
        <w:t>Руководстве по определению пределов огнестойкости конструкций, пределов распространения огня по конструкциям и групп возгораемости материалов</w:t>
      </w:r>
      <w:r w:rsidR="00EC0B7E">
        <w:t>»</w:t>
      </w:r>
      <w:r>
        <w:t xml:space="preserve">, М.: </w:t>
      </w:r>
      <w:proofErr w:type="spellStart"/>
      <w:r>
        <w:t>Стройиздат</w:t>
      </w:r>
      <w:proofErr w:type="spellEnd"/>
      <w:r>
        <w:t>, 1984.</w:t>
      </w:r>
    </w:p>
    <w:p w:rsidR="000000C0" w:rsidRDefault="00651744">
      <w:pPr>
        <w:ind w:firstLine="284"/>
        <w:jc w:val="both"/>
      </w:pPr>
      <w:r>
        <w:t xml:space="preserve">1.11. Огнезащитная обработка не уменьшает скорости обугливания древесины и не повышает предел огнестойкости деревянных конструкций сечением более 120х120 мм, для остальных конструкций предел огнестойкости может быть увеличен на 5 мин. Применение огнезащитной обработки может уменьшить пределы распространения огня по деревянным конструкциям или перевести древесину в группу </w:t>
      </w:r>
      <w:proofErr w:type="spellStart"/>
      <w:r>
        <w:t>трудносгораемых</w:t>
      </w:r>
      <w:proofErr w:type="spellEnd"/>
      <w:r>
        <w:t xml:space="preserve"> материалов.</w:t>
      </w:r>
    </w:p>
    <w:p w:rsidR="000000C0" w:rsidRDefault="00651744">
      <w:pPr>
        <w:ind w:firstLine="284"/>
        <w:jc w:val="both"/>
      </w:pPr>
      <w:r>
        <w:t>1.12. Качество огнезащитной обработки должно обеспечивать снижение предела распространения огня по деревянным конструкциям до 40 см для вертикальных элементов, до 25</w:t>
      </w:r>
      <w:r>
        <w:rPr>
          <w:b/>
        </w:rPr>
        <w:t xml:space="preserve"> </w:t>
      </w:r>
      <w:r>
        <w:t xml:space="preserve">см - для горизонтальных или результаты испытаний защищенной древесины по </w:t>
      </w:r>
      <w:proofErr w:type="gramStart"/>
      <w:r>
        <w:t>СТ</w:t>
      </w:r>
      <w:proofErr w:type="gramEnd"/>
      <w:r>
        <w:t xml:space="preserve"> СЭВ 2437-80 должны удовлетворять требованиям, предъявляемым к </w:t>
      </w:r>
      <w:proofErr w:type="spellStart"/>
      <w:r>
        <w:t>трудносгораемым</w:t>
      </w:r>
      <w:proofErr w:type="spellEnd"/>
      <w:r>
        <w:t xml:space="preserve"> материалам.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center"/>
        <w:rPr>
          <w:b/>
          <w:bCs/>
        </w:rPr>
      </w:pPr>
      <w:r>
        <w:rPr>
          <w:b/>
          <w:bCs/>
        </w:rPr>
        <w:t>2. НОМЕНКЛАТУРА ОГНЕЗАЩИТНЫХ СОСТАВОВ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both"/>
      </w:pPr>
      <w:r>
        <w:t>2.1. Рекомендации распространяются на огнезащитные покрытия для деревянных конструкций, включая вспучивающиеся покрытия, и на составы для глубокой пропитки или поверхностного нанесения.</w:t>
      </w:r>
    </w:p>
    <w:p w:rsidR="000000C0" w:rsidRDefault="00651744">
      <w:pPr>
        <w:ind w:firstLine="284"/>
        <w:jc w:val="both"/>
      </w:pPr>
      <w:r>
        <w:t>2.2. Трудоемкие и материалоемкие мероприятия по огнезащите древесины путем оштукатуривания в Рекомендациях не рассматриваются.</w:t>
      </w:r>
    </w:p>
    <w:p w:rsidR="000000C0" w:rsidRDefault="00651744">
      <w:pPr>
        <w:ind w:firstLine="284"/>
        <w:jc w:val="both"/>
      </w:pPr>
      <w:r>
        <w:t xml:space="preserve">2.3. Вспучивающиеся покрытия наносятся на поверхность деревянных конструкций </w:t>
      </w:r>
      <w:proofErr w:type="spellStart"/>
      <w:r>
        <w:t>пневмораспылением</w:t>
      </w:r>
      <w:proofErr w:type="spellEnd"/>
      <w:r>
        <w:t>. Пропиточные составы наносятся на поверхность древесины или пропитывают древесину способом глубокой пропитки.</w:t>
      </w:r>
    </w:p>
    <w:p w:rsidR="000000C0" w:rsidRDefault="00651744">
      <w:pPr>
        <w:ind w:firstLine="284"/>
        <w:jc w:val="both"/>
      </w:pPr>
      <w:r>
        <w:t xml:space="preserve">2.4. Для поверхностной огнезащиты рекомендуется применять: покрытие по древесине </w:t>
      </w:r>
      <w:r>
        <w:lastRenderedPageBreak/>
        <w:t xml:space="preserve">огнезащитное фосфатное ОФП-9 (ГОСТ 23790-80), покрытие по древесине вспучивающееся огнезащитное ВПД (ГОСТ 13130-82), состав ТХЭФ - раствор </w:t>
      </w:r>
      <w:proofErr w:type="spellStart"/>
      <w:r>
        <w:t>трихлорэтилфосфата</w:t>
      </w:r>
      <w:proofErr w:type="spellEnd"/>
      <w:r>
        <w:t xml:space="preserve"> в четырех - хлористом углероде. Для глубокой пропитки древесины рекомендуется состав МС 1</w:t>
      </w:r>
      <w:proofErr w:type="gramStart"/>
      <w:r>
        <w:t xml:space="preserve"> :</w:t>
      </w:r>
      <w:proofErr w:type="gramEnd"/>
      <w:r>
        <w:t xml:space="preserve"> 1 - водный раствор смеси </w:t>
      </w:r>
      <w:proofErr w:type="spellStart"/>
      <w:r>
        <w:t>диаммонийфосфата</w:t>
      </w:r>
      <w:proofErr w:type="spellEnd"/>
      <w:r>
        <w:t>, сульфата аммония и фтористого натрия.</w:t>
      </w:r>
    </w:p>
    <w:p w:rsidR="000000C0" w:rsidRDefault="00651744">
      <w:pPr>
        <w:ind w:firstLine="284"/>
        <w:jc w:val="both"/>
      </w:pPr>
      <w:r>
        <w:t>2.5. Рецептуры рассматриваемых огнезащитных составов представлены в табл. 1.</w:t>
      </w:r>
    </w:p>
    <w:p w:rsidR="000000C0" w:rsidRDefault="00651744">
      <w:pPr>
        <w:ind w:firstLine="284"/>
        <w:jc w:val="both"/>
        <w:rPr>
          <w:lang w:val="en-US"/>
        </w:rPr>
      </w:pPr>
      <w:r>
        <w:t xml:space="preserve">2.6. Технология приготовления и нанесения составов, контроль качества, техника безопасности даны в </w:t>
      </w:r>
      <w:r w:rsidR="00EC0B7E">
        <w:t>«</w:t>
      </w:r>
      <w:r>
        <w:t>Рекомендациях по применению материалов комплексного действия для защиты деревянных конструкций</w:t>
      </w:r>
      <w:r w:rsidR="00EC0B7E">
        <w:t>»</w:t>
      </w:r>
      <w:r>
        <w:t>, М.: ЦНИИСК им. Кучеренко, 1982.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right"/>
        <w:rPr>
          <w:lang w:val="en-US"/>
        </w:rPr>
      </w:pPr>
      <w:r>
        <w:t>Таблица 1</w:t>
      </w:r>
    </w:p>
    <w:p w:rsidR="000000C0" w:rsidRDefault="000000C0">
      <w:pPr>
        <w:ind w:firstLine="284"/>
        <w:jc w:val="both"/>
        <w:rPr>
          <w:lang w:val="en-US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7"/>
        <w:gridCol w:w="2054"/>
        <w:gridCol w:w="2064"/>
        <w:gridCol w:w="1156"/>
        <w:gridCol w:w="1217"/>
      </w:tblGrid>
      <w:tr w:rsidR="000000C0">
        <w:trPr>
          <w:trHeight w:val="23"/>
        </w:trPr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Наименование состава, марка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ГОСТ, ТУ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Состав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Содержание по массе, %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Растворитель</w:t>
            </w:r>
          </w:p>
        </w:tc>
      </w:tr>
      <w:tr w:rsidR="000000C0">
        <w:trPr>
          <w:trHeight w:val="23"/>
        </w:trPr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1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2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3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4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5</w:t>
            </w:r>
          </w:p>
        </w:tc>
      </w:tr>
      <w:tr w:rsidR="000000C0">
        <w:trPr>
          <w:cantSplit/>
          <w:trHeight w:val="23"/>
        </w:trPr>
        <w:tc>
          <w:tcPr>
            <w:tcW w:w="836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Огнезащитные покрытия</w:t>
            </w:r>
          </w:p>
        </w:tc>
      </w:tr>
      <w:tr w:rsidR="000000C0">
        <w:trPr>
          <w:cantSplit/>
          <w:trHeight w:val="23"/>
        </w:trPr>
        <w:tc>
          <w:tcPr>
            <w:tcW w:w="187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Покрытие по древесине огнезащитное фосфатное ОФП-9</w:t>
            </w:r>
          </w:p>
        </w:tc>
        <w:tc>
          <w:tcPr>
            <w:tcW w:w="205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ГОСТ 23790-79</w:t>
            </w: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proofErr w:type="spellStart"/>
            <w:r>
              <w:t>Полиметафосфат</w:t>
            </w:r>
            <w:proofErr w:type="spellEnd"/>
            <w:r>
              <w:t xml:space="preserve"> натрия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40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Вода</w:t>
            </w: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Гидроокись алюминия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15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Каолин или глина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5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Зола уноса ТЭС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15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Железный сурик или окись цинка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5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Мочевина или </w:t>
            </w:r>
            <w:proofErr w:type="spellStart"/>
            <w:r>
              <w:t>тиомочевина</w:t>
            </w:r>
            <w:proofErr w:type="spellEnd"/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20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87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Покрытие по древесине вспучивающееся огнезащитное ВПД</w:t>
            </w:r>
          </w:p>
        </w:tc>
        <w:tc>
          <w:tcPr>
            <w:tcW w:w="205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ГОСТ 23130-82</w:t>
            </w: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proofErr w:type="spellStart"/>
            <w:r>
              <w:t>Меламиномочевино</w:t>
            </w:r>
            <w:proofErr w:type="spellEnd"/>
            <w:r>
              <w:t>-</w:t>
            </w:r>
          </w:p>
          <w:p w:rsidR="000000C0" w:rsidRDefault="00651744">
            <w:pPr>
              <w:jc w:val="both"/>
            </w:pPr>
            <w:r>
              <w:t>формальдегидная смола ММФ-50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31,9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Вода</w:t>
            </w: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5%-й водный раствор натриевой соли </w:t>
            </w:r>
            <w:proofErr w:type="gramStart"/>
            <w:r>
              <w:t>карбоксил-целлюлозы</w:t>
            </w:r>
            <w:proofErr w:type="gramEnd"/>
            <w:r>
              <w:t xml:space="preserve"> (марка 85-500)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15,9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Мелем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18,4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proofErr w:type="spellStart"/>
            <w:r>
              <w:t>Дициандиамид</w:t>
            </w:r>
            <w:proofErr w:type="spellEnd"/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6,3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Аммофос марки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27,5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trHeight w:val="23"/>
        </w:trPr>
        <w:tc>
          <w:tcPr>
            <w:tcW w:w="8368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Пропиточные составы</w:t>
            </w:r>
          </w:p>
        </w:tc>
      </w:tr>
      <w:tr w:rsidR="000000C0">
        <w:trPr>
          <w:cantSplit/>
          <w:trHeight w:val="23"/>
        </w:trPr>
        <w:tc>
          <w:tcPr>
            <w:tcW w:w="187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Водный раствор смеси </w:t>
            </w:r>
            <w:proofErr w:type="spellStart"/>
            <w:r>
              <w:t>диаммонийфосфата</w:t>
            </w:r>
            <w:proofErr w:type="spellEnd"/>
            <w:r>
              <w:t>, сульфата аммония и фтористого натрия МС 1:1</w:t>
            </w:r>
          </w:p>
        </w:tc>
        <w:tc>
          <w:tcPr>
            <w:tcW w:w="205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Инструкция по </w:t>
            </w:r>
            <w:proofErr w:type="spellStart"/>
            <w:r>
              <w:t>антипирированию</w:t>
            </w:r>
            <w:proofErr w:type="spellEnd"/>
            <w:r>
              <w:t xml:space="preserve"> и заготовке пиломатериалов методом глубокой пропитки раствором огнезащитного вещества в автоклаве на предприятиях </w:t>
            </w:r>
            <w:proofErr w:type="spellStart"/>
            <w:r>
              <w:t>Главмоспромстройматериалов</w:t>
            </w:r>
            <w:proofErr w:type="spellEnd"/>
            <w:r>
              <w:t xml:space="preserve"> ВСН 74-79, Москва, 1980</w:t>
            </w: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proofErr w:type="spellStart"/>
            <w:r>
              <w:t>Диаммоний</w:t>
            </w:r>
            <w:proofErr w:type="spellEnd"/>
            <w:r>
              <w:t xml:space="preserve"> фосфат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7,5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Вода</w:t>
            </w: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Сульфат аммония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7,5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Фтористый натрий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2,0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Вода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83,0</w:t>
            </w: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  <w:tc>
          <w:tcPr>
            <w:tcW w:w="12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87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Раствор </w:t>
            </w:r>
            <w:proofErr w:type="spellStart"/>
            <w:r>
              <w:t>трихлорэтилфосфата</w:t>
            </w:r>
            <w:proofErr w:type="spellEnd"/>
            <w:r>
              <w:t xml:space="preserve"> в четыреххлористом углероде ТХЭФ</w:t>
            </w:r>
          </w:p>
        </w:tc>
        <w:tc>
          <w:tcPr>
            <w:tcW w:w="20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proofErr w:type="spellStart"/>
            <w:r>
              <w:t>Трихлорэтилфосфат</w:t>
            </w:r>
            <w:proofErr w:type="spellEnd"/>
            <w:r>
              <w:t xml:space="preserve"> ТУ 6-05-1611-78</w:t>
            </w:r>
          </w:p>
        </w:tc>
        <w:tc>
          <w:tcPr>
            <w:tcW w:w="115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40</w:t>
            </w:r>
          </w:p>
        </w:tc>
        <w:tc>
          <w:tcPr>
            <w:tcW w:w="121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Четырех-</w:t>
            </w:r>
          </w:p>
          <w:p w:rsidR="000000C0" w:rsidRDefault="00651744">
            <w:pPr>
              <w:jc w:val="center"/>
            </w:pPr>
            <w:r>
              <w:t>хлористый углерод</w:t>
            </w:r>
          </w:p>
        </w:tc>
      </w:tr>
      <w:tr w:rsidR="000000C0">
        <w:trPr>
          <w:cantSplit/>
          <w:trHeight w:val="23"/>
        </w:trPr>
        <w:tc>
          <w:tcPr>
            <w:tcW w:w="18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06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Четыреххлористый углерод ГОСТ 4.75</w:t>
            </w:r>
          </w:p>
        </w:tc>
        <w:tc>
          <w:tcPr>
            <w:tcW w:w="11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60</w:t>
            </w:r>
          </w:p>
        </w:tc>
        <w:tc>
          <w:tcPr>
            <w:tcW w:w="12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</w:tbl>
    <w:p w:rsidR="000000C0" w:rsidRDefault="000000C0">
      <w:pPr>
        <w:ind w:firstLine="284"/>
        <w:rPr>
          <w:lang w:val="en-US"/>
        </w:rPr>
      </w:pPr>
    </w:p>
    <w:p w:rsidR="000000C0" w:rsidRDefault="00651744">
      <w:pPr>
        <w:ind w:firstLine="284"/>
        <w:jc w:val="center"/>
        <w:rPr>
          <w:b/>
          <w:bCs/>
        </w:rPr>
      </w:pPr>
      <w:r>
        <w:rPr>
          <w:b/>
          <w:bCs/>
        </w:rPr>
        <w:t>3. ОГНЕЗАЩИТНАЯ СПОСОБНОСТЬ СОСТАВОВ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both"/>
      </w:pPr>
      <w:r>
        <w:t xml:space="preserve">3.1. Вспучивающиеся покрытия в процессе воздействия высоких температур образуют пенистый угольный слой, представляющий собой </w:t>
      </w:r>
      <w:proofErr w:type="spellStart"/>
      <w:r>
        <w:t>закоксовавшийся</w:t>
      </w:r>
      <w:proofErr w:type="spellEnd"/>
      <w:r>
        <w:t xml:space="preserve"> расплав, вспененный с помощью выделяющихся при нагревании газообразных продуктов. Образовавшийся слой создает теплоизоляционный экран и увеличивает время прогрева древесины до температуры разложения.</w:t>
      </w:r>
    </w:p>
    <w:p w:rsidR="000000C0" w:rsidRDefault="00651744">
      <w:pPr>
        <w:ind w:firstLine="284"/>
        <w:jc w:val="both"/>
      </w:pPr>
      <w:r>
        <w:t>Огнезащитный эффект антипиренов достигается за счет того, что при их термическом разложении поглощается тепло, продукты их разложения создают вблизи поверхности древесины защитную оболочку инертных газов, связывают активные радикалы продуктов разложения.</w:t>
      </w:r>
    </w:p>
    <w:p w:rsidR="000000C0" w:rsidRDefault="00651744">
      <w:pPr>
        <w:ind w:firstLine="284"/>
        <w:jc w:val="both"/>
      </w:pPr>
      <w:r>
        <w:t xml:space="preserve">3.2. Огнезащитная способность составов определяется показателями, нормируемыми в </w:t>
      </w:r>
      <w:r>
        <w:lastRenderedPageBreak/>
        <w:t>методах</w:t>
      </w:r>
      <w:r>
        <w:rPr>
          <w:b/>
        </w:rPr>
        <w:t xml:space="preserve"> </w:t>
      </w:r>
      <w:r>
        <w:t>испытаний</w:t>
      </w:r>
      <w:r>
        <w:rPr>
          <w:b/>
        </w:rPr>
        <w:t xml:space="preserve"> </w:t>
      </w:r>
      <w:r>
        <w:t xml:space="preserve">перечисленных в </w:t>
      </w:r>
      <w:proofErr w:type="spellStart"/>
      <w:r>
        <w:t>п.п</w:t>
      </w:r>
      <w:proofErr w:type="spellEnd"/>
      <w:r>
        <w:t>. 1,3, 1.4, 1.5 настоящих Рекомендаций.</w:t>
      </w:r>
    </w:p>
    <w:p w:rsidR="000000C0" w:rsidRDefault="00651744">
      <w:pPr>
        <w:ind w:firstLine="284"/>
        <w:jc w:val="both"/>
      </w:pPr>
      <w:r>
        <w:t>3.3. Показатели огнезащитной способности рекомендуемых составов приведены в табл. 2. Для плитных материалов на основе древесины (ДСП, ДВП и т.д</w:t>
      </w:r>
      <w:r>
        <w:rPr>
          <w:i/>
        </w:rPr>
        <w:t xml:space="preserve">.) </w:t>
      </w:r>
      <w:r>
        <w:t>эти показатели должны устанавливаться дополнительно.</w:t>
      </w:r>
    </w:p>
    <w:p w:rsidR="000000C0" w:rsidRDefault="00651744">
      <w:pPr>
        <w:ind w:firstLine="284"/>
        <w:jc w:val="both"/>
        <w:rPr>
          <w:lang w:val="en-US"/>
        </w:rPr>
      </w:pPr>
      <w:r>
        <w:t xml:space="preserve">3.4. Учитывая, что результаты испытаний древесины, защищенной составом ТХЭФ, не вполне удовлетворяют требованиям, предъявляемым стандартом СЭВ 2437-80 к </w:t>
      </w:r>
      <w:proofErr w:type="spellStart"/>
      <w:r>
        <w:t>трудносгораемым</w:t>
      </w:r>
      <w:proofErr w:type="spellEnd"/>
      <w:r>
        <w:t xml:space="preserve"> материалам, этот состав рекомендуется применять только в тех случаях, когда к конструкциям предъявляются требования по пределу распространения огня.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right"/>
        <w:rPr>
          <w:lang w:val="en-US"/>
        </w:rPr>
      </w:pPr>
      <w:r>
        <w:t>Таблица 2</w:t>
      </w:r>
    </w:p>
    <w:p w:rsidR="000000C0" w:rsidRDefault="000000C0">
      <w:pPr>
        <w:ind w:firstLine="284"/>
        <w:jc w:val="both"/>
        <w:rPr>
          <w:lang w:val="en-US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5"/>
        <w:gridCol w:w="2953"/>
        <w:gridCol w:w="815"/>
        <w:gridCol w:w="606"/>
        <w:gridCol w:w="767"/>
        <w:gridCol w:w="742"/>
      </w:tblGrid>
      <w:tr w:rsidR="000000C0">
        <w:trPr>
          <w:trHeight w:val="23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Метод испытания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Устанавливаемые показатели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ОФП-9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ВПД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МС</w:t>
            </w:r>
            <w:proofErr w:type="gramStart"/>
            <w:r>
              <w:t>1</w:t>
            </w:r>
            <w:proofErr w:type="gramEnd"/>
            <w:r>
              <w:t>:1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ТХЭФ</w:t>
            </w:r>
          </w:p>
        </w:tc>
      </w:tr>
      <w:tr w:rsidR="000000C0">
        <w:trPr>
          <w:trHeight w:val="23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3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6</w:t>
            </w:r>
          </w:p>
        </w:tc>
      </w:tr>
      <w:tr w:rsidR="000000C0">
        <w:trPr>
          <w:trHeight w:val="23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EC0B7E">
            <w:pPr>
              <w:jc w:val="both"/>
            </w:pPr>
            <w:r>
              <w:t>«</w:t>
            </w:r>
            <w:r w:rsidR="00651744">
              <w:t>Метод испытания строительных конструкций на огнестойкость</w:t>
            </w:r>
            <w:r>
              <w:t>»</w:t>
            </w:r>
            <w:r w:rsidR="00651744">
              <w:t xml:space="preserve"> </w:t>
            </w:r>
            <w:proofErr w:type="gramStart"/>
            <w:r w:rsidR="00651744">
              <w:t>СТ</w:t>
            </w:r>
            <w:proofErr w:type="gramEnd"/>
            <w:r w:rsidR="00651744">
              <w:t xml:space="preserve"> СЭВ 1000-78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Предел огнестойкости конструкций, </w:t>
            </w:r>
            <w:proofErr w:type="gramStart"/>
            <w:r>
              <w:t>ч</w:t>
            </w:r>
            <w:proofErr w:type="gramEnd"/>
          </w:p>
        </w:tc>
        <w:tc>
          <w:tcPr>
            <w:tcW w:w="27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Для элементов деревянных конструкций сечением более 120х120 мм огнезащита не влияет на предел огнестойкости, для остальных увеличивает на 5 мин</w:t>
            </w:r>
          </w:p>
        </w:tc>
      </w:tr>
      <w:tr w:rsidR="000000C0">
        <w:trPr>
          <w:trHeight w:val="23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EC0B7E">
            <w:pPr>
              <w:jc w:val="both"/>
            </w:pPr>
            <w:r>
              <w:t>«</w:t>
            </w:r>
            <w:r w:rsidR="00651744">
              <w:t>Методика испытания строительных конструкций на распространение огня</w:t>
            </w:r>
            <w:r>
              <w:t>»</w:t>
            </w:r>
            <w:r w:rsidR="00651744">
              <w:t xml:space="preserve"> (Приложение 2 к главе СНиП </w:t>
            </w:r>
            <w:r w:rsidR="00651744">
              <w:rPr>
                <w:lang w:val="en-US"/>
              </w:rPr>
              <w:t>II</w:t>
            </w:r>
            <w:r w:rsidR="00651744">
              <w:t>-2-80)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Предел распространения огня по конструкциям, </w:t>
            </w:r>
            <w:proofErr w:type="gramStart"/>
            <w:r>
              <w:t>см</w:t>
            </w:r>
            <w:proofErr w:type="gramEnd"/>
          </w:p>
        </w:tc>
        <w:tc>
          <w:tcPr>
            <w:tcW w:w="27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По вертикали менее 40, по горизонтали менее 25</w:t>
            </w:r>
          </w:p>
        </w:tc>
      </w:tr>
      <w:tr w:rsidR="000000C0">
        <w:trPr>
          <w:cantSplit/>
          <w:trHeight w:val="23"/>
        </w:trPr>
        <w:tc>
          <w:tcPr>
            <w:tcW w:w="23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EC0B7E">
            <w:pPr>
              <w:jc w:val="both"/>
            </w:pPr>
            <w:r>
              <w:t>«</w:t>
            </w:r>
            <w:r w:rsidR="00651744">
              <w:t xml:space="preserve">Возгораемость строительных материалов. Метод определения группы </w:t>
            </w:r>
            <w:proofErr w:type="spellStart"/>
            <w:r w:rsidR="00651744">
              <w:t>трудносгораемых</w:t>
            </w:r>
            <w:proofErr w:type="spellEnd"/>
            <w:r w:rsidR="00651744">
              <w:t xml:space="preserve"> материалов</w:t>
            </w:r>
            <w:r>
              <w:t>»</w:t>
            </w:r>
            <w:r w:rsidR="00651744">
              <w:t xml:space="preserve"> </w:t>
            </w:r>
            <w:proofErr w:type="gramStart"/>
            <w:r w:rsidR="00651744">
              <w:t>СТ</w:t>
            </w:r>
            <w:proofErr w:type="gramEnd"/>
            <w:r w:rsidR="00651744">
              <w:t xml:space="preserve"> СЭВ 2437-80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Температура отходящих газов, °</w:t>
            </w:r>
            <w:proofErr w:type="gramStart"/>
            <w:r>
              <w:t>С</w:t>
            </w:r>
            <w:proofErr w:type="gramEnd"/>
            <w:r>
              <w:t xml:space="preserve"> (не более 235)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155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133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500</w:t>
            </w:r>
          </w:p>
        </w:tc>
      </w:tr>
      <w:tr w:rsidR="000000C0">
        <w:trPr>
          <w:cantSplit/>
          <w:trHeight w:val="23"/>
        </w:trPr>
        <w:tc>
          <w:tcPr>
            <w:tcW w:w="23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Время самостоятельного горения, </w:t>
            </w:r>
            <w:proofErr w:type="gramStart"/>
            <w:r>
              <w:t>с</w:t>
            </w:r>
            <w:proofErr w:type="gramEnd"/>
            <w:r>
              <w:t xml:space="preserve"> (не более 30)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300</w:t>
            </w:r>
          </w:p>
        </w:tc>
      </w:tr>
      <w:tr w:rsidR="000000C0">
        <w:trPr>
          <w:cantSplit/>
          <w:trHeight w:val="23"/>
        </w:trPr>
        <w:tc>
          <w:tcPr>
            <w:tcW w:w="23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Степень повреждения по длине, % (не более 85)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27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100</w:t>
            </w:r>
          </w:p>
        </w:tc>
      </w:tr>
      <w:tr w:rsidR="000000C0">
        <w:trPr>
          <w:cantSplit/>
          <w:trHeight w:val="23"/>
        </w:trPr>
        <w:tc>
          <w:tcPr>
            <w:tcW w:w="23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Степень повреждения по массе, % (не более 80)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2,7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2,2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82</w:t>
            </w:r>
          </w:p>
        </w:tc>
      </w:tr>
      <w:tr w:rsidR="000000C0">
        <w:trPr>
          <w:trHeight w:val="23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ГОСТ 16363-76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Потеря по массе, % (не более 9)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9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9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13</w:t>
            </w:r>
          </w:p>
        </w:tc>
      </w:tr>
    </w:tbl>
    <w:p w:rsidR="000000C0" w:rsidRDefault="000000C0">
      <w:pPr>
        <w:ind w:firstLine="284"/>
        <w:rPr>
          <w:lang w:val="en-US"/>
        </w:rPr>
      </w:pPr>
    </w:p>
    <w:p w:rsidR="000000C0" w:rsidRDefault="00651744">
      <w:pPr>
        <w:ind w:firstLine="284"/>
        <w:jc w:val="center"/>
        <w:rPr>
          <w:b/>
          <w:bCs/>
        </w:rPr>
      </w:pPr>
      <w:r>
        <w:rPr>
          <w:b/>
          <w:bCs/>
        </w:rPr>
        <w:t>4. ОБЛАСТЬ ПРИМЕНЕНИЯ ОГНЕЗАЩИТНЫХ СОСТАВОВ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both"/>
      </w:pPr>
      <w:r>
        <w:t>4.1. Для защиты несущих деревянных конструкций, выполненных из цельной древесины, рекомендуются вспучивающиеся огнезащитные составы, пропиточные составы, а также составы, наносимые на поверхность. Для клееных деревянных конструкций рекомендуется применять вспучивающиеся составы и антипирены, наносимые на поверхность конструкций.</w:t>
      </w:r>
    </w:p>
    <w:p w:rsidR="000000C0" w:rsidRDefault="00651744">
      <w:pPr>
        <w:ind w:firstLine="284"/>
        <w:jc w:val="both"/>
      </w:pPr>
      <w:r>
        <w:t>4.2. Для огнезащиты элементов деревянных каркасов ограждающих конструкций рекомендуется применять антипирены для глубокой пропитки древесины под давлением и наносимые на поверхность.</w:t>
      </w:r>
    </w:p>
    <w:p w:rsidR="000000C0" w:rsidRDefault="00651744">
      <w:pPr>
        <w:ind w:firstLine="284"/>
        <w:jc w:val="both"/>
        <w:rPr>
          <w:lang w:val="en-US"/>
        </w:rPr>
      </w:pPr>
      <w:r>
        <w:t>4.3. При выборе огнезащитного состава для конкретных условий применения следует учитывать их технологические (табл. 3) и эксплуатационные (табл. 4) показатели.</w:t>
      </w:r>
    </w:p>
    <w:p w:rsidR="000000C0" w:rsidRDefault="000000C0">
      <w:pPr>
        <w:ind w:firstLine="284"/>
        <w:jc w:val="both"/>
        <w:rPr>
          <w:lang w:val="en-US"/>
        </w:rPr>
        <w:sectPr w:rsidR="000000C0">
          <w:pgSz w:w="11906" w:h="16838" w:code="9"/>
          <w:pgMar w:top="1440" w:right="1797" w:bottom="1440" w:left="1797" w:header="720" w:footer="720" w:gutter="0"/>
          <w:cols w:space="720"/>
          <w:noEndnote/>
          <w:titlePg/>
        </w:sectPr>
      </w:pPr>
    </w:p>
    <w:p w:rsidR="000000C0" w:rsidRDefault="00651744">
      <w:pPr>
        <w:ind w:firstLine="284"/>
        <w:jc w:val="right"/>
        <w:rPr>
          <w:lang w:val="en-US"/>
        </w:rPr>
      </w:pPr>
      <w:r>
        <w:lastRenderedPageBreak/>
        <w:t>Таблица 3</w:t>
      </w:r>
    </w:p>
    <w:p w:rsidR="000000C0" w:rsidRDefault="000000C0">
      <w:pPr>
        <w:ind w:firstLine="284"/>
        <w:jc w:val="both"/>
        <w:rPr>
          <w:lang w:val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1"/>
        <w:gridCol w:w="1608"/>
        <w:gridCol w:w="1044"/>
        <w:gridCol w:w="1349"/>
        <w:gridCol w:w="1548"/>
        <w:gridCol w:w="1188"/>
      </w:tblGrid>
      <w:tr w:rsidR="000000C0">
        <w:trPr>
          <w:trHeight w:val="23"/>
        </w:trPr>
        <w:tc>
          <w:tcPr>
            <w:tcW w:w="3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Показатели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ОФП-9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ВП</w:t>
            </w:r>
            <w:proofErr w:type="gramStart"/>
            <w:r>
              <w:t>9</w:t>
            </w:r>
            <w:proofErr w:type="gramEnd"/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МС 1:1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ТХЭФ</w:t>
            </w:r>
          </w:p>
        </w:tc>
      </w:tr>
      <w:tr w:rsidR="000000C0">
        <w:trPr>
          <w:cantSplit/>
          <w:trHeight w:val="23"/>
        </w:trPr>
        <w:tc>
          <w:tcPr>
            <w:tcW w:w="3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  <w:rPr>
                <w:vertAlign w:val="superscript"/>
              </w:rPr>
            </w:pPr>
            <w:r>
              <w:t>Расход состава, г/м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500-700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700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66*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600</w:t>
            </w:r>
          </w:p>
        </w:tc>
      </w:tr>
      <w:tr w:rsidR="000000C0">
        <w:trPr>
          <w:cantSplit/>
          <w:trHeight w:val="23"/>
        </w:trPr>
        <w:tc>
          <w:tcPr>
            <w:tcW w:w="3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Толщина покрытия, </w:t>
            </w:r>
            <w:proofErr w:type="gramStart"/>
            <w:r>
              <w:t>мм</w:t>
            </w:r>
            <w:proofErr w:type="gramEnd"/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0,6-0,8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0,2</w:t>
            </w:r>
          </w:p>
        </w:tc>
        <w:tc>
          <w:tcPr>
            <w:tcW w:w="15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11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</w:tr>
      <w:tr w:rsidR="000000C0">
        <w:trPr>
          <w:cantSplit/>
          <w:trHeight w:val="23"/>
        </w:trPr>
        <w:tc>
          <w:tcPr>
            <w:tcW w:w="16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Температурно-влажностные условия окружающей среды при нанесении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температура, °</w:t>
            </w:r>
            <w:proofErr w:type="gramStart"/>
            <w:r>
              <w:t>С</w:t>
            </w:r>
            <w:proofErr w:type="gramEnd"/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от 10 до 50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от 10 до 35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без ограничений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не ниже 20</w:t>
            </w:r>
          </w:p>
        </w:tc>
      </w:tr>
      <w:tr w:rsidR="000000C0">
        <w:trPr>
          <w:cantSplit/>
          <w:trHeight w:val="23"/>
        </w:trPr>
        <w:tc>
          <w:tcPr>
            <w:tcW w:w="16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относительная влажность, %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меньше 75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меньше 80</w:t>
            </w:r>
          </w:p>
        </w:tc>
        <w:tc>
          <w:tcPr>
            <w:tcW w:w="15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не более 65</w:t>
            </w:r>
          </w:p>
        </w:tc>
      </w:tr>
      <w:tr w:rsidR="000000C0">
        <w:trPr>
          <w:trHeight w:val="23"/>
        </w:trPr>
        <w:tc>
          <w:tcPr>
            <w:tcW w:w="3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Максимальная влажность древесины при нанесении, %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16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30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15</w:t>
            </w:r>
          </w:p>
        </w:tc>
      </w:tr>
      <w:tr w:rsidR="000000C0">
        <w:trPr>
          <w:cantSplit/>
          <w:trHeight w:val="23"/>
        </w:trPr>
        <w:tc>
          <w:tcPr>
            <w:tcW w:w="1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Способ нанесения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рекомендуемый</w:t>
            </w:r>
          </w:p>
        </w:tc>
        <w:tc>
          <w:tcPr>
            <w:tcW w:w="2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proofErr w:type="spellStart"/>
            <w:r>
              <w:t>пневмораспыливание</w:t>
            </w:r>
            <w:proofErr w:type="spellEnd"/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proofErr w:type="gramStart"/>
            <w:r>
              <w:t>вакуум-атмосферное</w:t>
            </w:r>
            <w:proofErr w:type="gramEnd"/>
            <w:r>
              <w:t xml:space="preserve"> давление ГОСТ 20022.8-76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прогрев сухим воздухом - холодная ванна</w:t>
            </w:r>
          </w:p>
        </w:tc>
      </w:tr>
      <w:tr w:rsidR="000000C0">
        <w:trPr>
          <w:cantSplit/>
          <w:trHeight w:val="23"/>
        </w:trPr>
        <w:tc>
          <w:tcPr>
            <w:tcW w:w="163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16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агрегат </w:t>
            </w:r>
            <w:r w:rsidR="00EC0B7E">
              <w:t>«</w:t>
            </w:r>
            <w:r>
              <w:t>АНШ-1</w:t>
            </w:r>
            <w:r w:rsidR="00EC0B7E">
              <w:t>»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установка </w:t>
            </w:r>
            <w:r w:rsidR="00EC0B7E">
              <w:t>«</w:t>
            </w:r>
            <w:r>
              <w:t>Щит</w:t>
            </w:r>
            <w:r w:rsidR="00EC0B7E">
              <w:t>»</w:t>
            </w:r>
          </w:p>
        </w:tc>
        <w:tc>
          <w:tcPr>
            <w:tcW w:w="15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11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ГОСТ 20022 6-76</w:t>
            </w:r>
          </w:p>
        </w:tc>
      </w:tr>
      <w:tr w:rsidR="000000C0">
        <w:trPr>
          <w:cantSplit/>
          <w:trHeight w:val="23"/>
        </w:trPr>
        <w:tc>
          <w:tcPr>
            <w:tcW w:w="16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допускаемый</w:t>
            </w:r>
          </w:p>
        </w:tc>
        <w:tc>
          <w:tcPr>
            <w:tcW w:w="2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кисть, валик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прогрев-холодная ванна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кисть, валик</w:t>
            </w:r>
          </w:p>
        </w:tc>
      </w:tr>
      <w:tr w:rsidR="000000C0">
        <w:trPr>
          <w:trHeight w:val="23"/>
        </w:trPr>
        <w:tc>
          <w:tcPr>
            <w:tcW w:w="3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Возможность склеивания поверхностей защищенной древесины</w:t>
            </w:r>
          </w:p>
        </w:tc>
        <w:tc>
          <w:tcPr>
            <w:tcW w:w="2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не допускается</w:t>
            </w:r>
          </w:p>
        </w:tc>
        <w:tc>
          <w:tcPr>
            <w:tcW w:w="2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допускается</w:t>
            </w:r>
          </w:p>
        </w:tc>
      </w:tr>
    </w:tbl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both"/>
        <w:rPr>
          <w:sz w:val="18"/>
        </w:rPr>
      </w:pPr>
      <w:r>
        <w:rPr>
          <w:sz w:val="18"/>
        </w:rPr>
        <w:t>* Показатель расхода антипирена МС 1:1 дан в кг/м</w:t>
      </w:r>
      <w:r>
        <w:rPr>
          <w:sz w:val="18"/>
          <w:vertAlign w:val="superscript"/>
        </w:rPr>
        <w:t>3</w:t>
      </w:r>
      <w:r>
        <w:rPr>
          <w:sz w:val="18"/>
        </w:rPr>
        <w:t>.</w:t>
      </w:r>
    </w:p>
    <w:p w:rsidR="000000C0" w:rsidRDefault="000000C0">
      <w:pPr>
        <w:ind w:firstLine="284"/>
        <w:jc w:val="both"/>
      </w:pPr>
    </w:p>
    <w:p w:rsidR="000000C0" w:rsidRDefault="00651744">
      <w:pPr>
        <w:ind w:firstLine="284"/>
        <w:jc w:val="right"/>
        <w:rPr>
          <w:lang w:val="en-US"/>
        </w:rPr>
      </w:pPr>
      <w:r>
        <w:t>Таблица 4</w:t>
      </w:r>
    </w:p>
    <w:p w:rsidR="000000C0" w:rsidRDefault="000000C0">
      <w:pPr>
        <w:ind w:firstLine="284"/>
        <w:jc w:val="both"/>
        <w:rPr>
          <w:lang w:val="en-U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1472"/>
        <w:gridCol w:w="1342"/>
        <w:gridCol w:w="1317"/>
        <w:gridCol w:w="1555"/>
        <w:gridCol w:w="1196"/>
      </w:tblGrid>
      <w:tr w:rsidR="000000C0">
        <w:trPr>
          <w:trHeight w:val="23"/>
        </w:trPr>
        <w:tc>
          <w:tcPr>
            <w:tcW w:w="2958" w:type="dxa"/>
            <w:gridSpan w:val="2"/>
          </w:tcPr>
          <w:p w:rsidR="000000C0" w:rsidRDefault="00651744">
            <w:pPr>
              <w:jc w:val="center"/>
            </w:pPr>
            <w:r>
              <w:t>Показатели</w:t>
            </w:r>
          </w:p>
        </w:tc>
        <w:tc>
          <w:tcPr>
            <w:tcW w:w="1342" w:type="dxa"/>
          </w:tcPr>
          <w:p w:rsidR="000000C0" w:rsidRDefault="00651744">
            <w:pPr>
              <w:jc w:val="center"/>
            </w:pPr>
            <w:r>
              <w:t>ОФП-9</w:t>
            </w:r>
          </w:p>
        </w:tc>
        <w:tc>
          <w:tcPr>
            <w:tcW w:w="1317" w:type="dxa"/>
          </w:tcPr>
          <w:p w:rsidR="000000C0" w:rsidRDefault="00651744">
            <w:pPr>
              <w:jc w:val="center"/>
            </w:pPr>
            <w:r>
              <w:t>ВПД</w:t>
            </w:r>
          </w:p>
        </w:tc>
        <w:tc>
          <w:tcPr>
            <w:tcW w:w="1555" w:type="dxa"/>
          </w:tcPr>
          <w:p w:rsidR="000000C0" w:rsidRDefault="00651744">
            <w:pPr>
              <w:jc w:val="center"/>
            </w:pPr>
            <w:r>
              <w:t>МС 1:1</w:t>
            </w:r>
          </w:p>
        </w:tc>
        <w:tc>
          <w:tcPr>
            <w:tcW w:w="1196" w:type="dxa"/>
          </w:tcPr>
          <w:p w:rsidR="000000C0" w:rsidRDefault="00651744">
            <w:pPr>
              <w:jc w:val="center"/>
            </w:pPr>
            <w:r>
              <w:t>ТХЭФ</w:t>
            </w:r>
          </w:p>
        </w:tc>
      </w:tr>
      <w:tr w:rsidR="000000C0">
        <w:trPr>
          <w:cantSplit/>
          <w:trHeight w:val="23"/>
        </w:trPr>
        <w:tc>
          <w:tcPr>
            <w:tcW w:w="1486" w:type="dxa"/>
            <w:tcBorders>
              <w:bottom w:val="nil"/>
            </w:tcBorders>
          </w:tcPr>
          <w:p w:rsidR="000000C0" w:rsidRDefault="00651744">
            <w:pPr>
              <w:jc w:val="center"/>
            </w:pPr>
            <w:r>
              <w:t>Температурно-</w:t>
            </w:r>
          </w:p>
        </w:tc>
        <w:tc>
          <w:tcPr>
            <w:tcW w:w="1472" w:type="dxa"/>
            <w:tcBorders>
              <w:bottom w:val="nil"/>
            </w:tcBorders>
          </w:tcPr>
          <w:p w:rsidR="000000C0" w:rsidRDefault="00651744">
            <w:pPr>
              <w:jc w:val="center"/>
            </w:pPr>
            <w:r>
              <w:t xml:space="preserve">температура, </w:t>
            </w:r>
            <w:r>
              <w:sym w:font="Symbol" w:char="F0B0"/>
            </w:r>
            <w:proofErr w:type="gramStart"/>
            <w:r>
              <w:t>С</w:t>
            </w:r>
            <w:proofErr w:type="gramEnd"/>
          </w:p>
        </w:tc>
        <w:tc>
          <w:tcPr>
            <w:tcW w:w="1342" w:type="dxa"/>
          </w:tcPr>
          <w:p w:rsidR="000000C0" w:rsidRDefault="00651744">
            <w:pPr>
              <w:jc w:val="center"/>
            </w:pPr>
            <w:r>
              <w:t>А 1</w:t>
            </w:r>
          </w:p>
        </w:tc>
        <w:tc>
          <w:tcPr>
            <w:tcW w:w="1317" w:type="dxa"/>
          </w:tcPr>
          <w:p w:rsidR="000000C0" w:rsidRDefault="00651744">
            <w:pPr>
              <w:jc w:val="center"/>
            </w:pPr>
            <w:r>
              <w:t>А</w:t>
            </w:r>
            <w:proofErr w:type="gramStart"/>
            <w:r>
              <w:t>1</w:t>
            </w:r>
            <w:proofErr w:type="gramEnd"/>
            <w:r>
              <w:t xml:space="preserve"> и А2</w:t>
            </w:r>
          </w:p>
        </w:tc>
        <w:tc>
          <w:tcPr>
            <w:tcW w:w="2751" w:type="dxa"/>
            <w:gridSpan w:val="2"/>
            <w:tcBorders>
              <w:bottom w:val="nil"/>
            </w:tcBorders>
          </w:tcPr>
          <w:p w:rsidR="000000C0" w:rsidRDefault="00651744">
            <w:pPr>
              <w:jc w:val="center"/>
            </w:pPr>
            <w:r>
              <w:t>без ограничений</w:t>
            </w:r>
          </w:p>
        </w:tc>
      </w:tr>
      <w:tr w:rsidR="000000C0">
        <w:trPr>
          <w:cantSplit/>
          <w:trHeight w:val="23"/>
        </w:trPr>
        <w:tc>
          <w:tcPr>
            <w:tcW w:w="1486" w:type="dxa"/>
            <w:tcBorders>
              <w:top w:val="nil"/>
            </w:tcBorders>
          </w:tcPr>
          <w:p w:rsidR="000000C0" w:rsidRDefault="00651744">
            <w:pPr>
              <w:jc w:val="both"/>
            </w:pPr>
            <w:r>
              <w:t>влажностные условия эксплуатации</w:t>
            </w:r>
          </w:p>
        </w:tc>
        <w:tc>
          <w:tcPr>
            <w:tcW w:w="1472" w:type="dxa"/>
            <w:tcBorders>
              <w:top w:val="nil"/>
            </w:tcBorders>
          </w:tcPr>
          <w:p w:rsidR="000000C0" w:rsidRDefault="00651744">
            <w:pPr>
              <w:jc w:val="both"/>
            </w:pPr>
            <w:r>
              <w:t>относительная влажность %</w:t>
            </w:r>
          </w:p>
        </w:tc>
        <w:tc>
          <w:tcPr>
            <w:tcW w:w="2659" w:type="dxa"/>
            <w:gridSpan w:val="2"/>
          </w:tcPr>
          <w:p w:rsidR="000000C0" w:rsidRDefault="00651744">
            <w:pPr>
              <w:jc w:val="both"/>
            </w:pPr>
            <w:r>
              <w:t>по СНиП 11-25-80</w:t>
            </w:r>
          </w:p>
        </w:tc>
        <w:tc>
          <w:tcPr>
            <w:tcW w:w="2751" w:type="dxa"/>
            <w:gridSpan w:val="2"/>
            <w:tcBorders>
              <w:top w:val="nil"/>
            </w:tcBorders>
          </w:tcPr>
          <w:p w:rsidR="000000C0" w:rsidRDefault="000000C0">
            <w:pPr>
              <w:jc w:val="both"/>
            </w:pPr>
          </w:p>
        </w:tc>
      </w:tr>
      <w:tr w:rsidR="000000C0">
        <w:trPr>
          <w:trHeight w:val="23"/>
        </w:trPr>
        <w:tc>
          <w:tcPr>
            <w:tcW w:w="2958" w:type="dxa"/>
            <w:gridSpan w:val="2"/>
          </w:tcPr>
          <w:p w:rsidR="000000C0" w:rsidRDefault="00651744">
            <w:pPr>
              <w:jc w:val="both"/>
            </w:pPr>
            <w:r>
              <w:t>Эстетические качества защищенной поверхности древесины</w:t>
            </w:r>
          </w:p>
        </w:tc>
        <w:tc>
          <w:tcPr>
            <w:tcW w:w="1342" w:type="dxa"/>
          </w:tcPr>
          <w:p w:rsidR="000000C0" w:rsidRDefault="00651744">
            <w:pPr>
              <w:jc w:val="both"/>
            </w:pPr>
            <w:proofErr w:type="spellStart"/>
            <w:r>
              <w:t>укрывистое</w:t>
            </w:r>
            <w:proofErr w:type="spellEnd"/>
            <w:r>
              <w:t xml:space="preserve">, </w:t>
            </w:r>
            <w:proofErr w:type="gramStart"/>
            <w:r>
              <w:t>однородное</w:t>
            </w:r>
            <w:proofErr w:type="gramEnd"/>
            <w:r>
              <w:t>, матовое, цвет серый</w:t>
            </w:r>
          </w:p>
        </w:tc>
        <w:tc>
          <w:tcPr>
            <w:tcW w:w="1317" w:type="dxa"/>
          </w:tcPr>
          <w:p w:rsidR="000000C0" w:rsidRDefault="00651744">
            <w:pPr>
              <w:jc w:val="both"/>
            </w:pPr>
            <w:proofErr w:type="spellStart"/>
            <w:r>
              <w:t>укрывистое</w:t>
            </w:r>
            <w:proofErr w:type="spellEnd"/>
            <w:r>
              <w:t xml:space="preserve">, </w:t>
            </w:r>
            <w:proofErr w:type="gramStart"/>
            <w:r>
              <w:t>однородное</w:t>
            </w:r>
            <w:proofErr w:type="gramEnd"/>
            <w:r>
              <w:t>, матовое, цвет серый или белый</w:t>
            </w:r>
          </w:p>
        </w:tc>
        <w:tc>
          <w:tcPr>
            <w:tcW w:w="1555" w:type="dxa"/>
          </w:tcPr>
          <w:p w:rsidR="000000C0" w:rsidRDefault="00651744">
            <w:pPr>
              <w:jc w:val="both"/>
            </w:pPr>
            <w:r>
              <w:t>текстуру и цвет древесины не меняет</w:t>
            </w:r>
          </w:p>
        </w:tc>
        <w:tc>
          <w:tcPr>
            <w:tcW w:w="1196" w:type="dxa"/>
          </w:tcPr>
          <w:p w:rsidR="000000C0" w:rsidRDefault="00651744">
            <w:pPr>
              <w:jc w:val="both"/>
            </w:pPr>
            <w:r>
              <w:t>текстуру и цвет древесины не меняет</w:t>
            </w:r>
          </w:p>
        </w:tc>
      </w:tr>
      <w:tr w:rsidR="000000C0">
        <w:trPr>
          <w:trHeight w:val="23"/>
        </w:trPr>
        <w:tc>
          <w:tcPr>
            <w:tcW w:w="2958" w:type="dxa"/>
            <w:gridSpan w:val="2"/>
          </w:tcPr>
          <w:p w:rsidR="000000C0" w:rsidRDefault="00651744">
            <w:pPr>
              <w:jc w:val="both"/>
            </w:pPr>
            <w:r>
              <w:t>Влияние на прочность древесины</w:t>
            </w:r>
          </w:p>
        </w:tc>
        <w:tc>
          <w:tcPr>
            <w:tcW w:w="1342" w:type="dxa"/>
          </w:tcPr>
          <w:p w:rsidR="000000C0" w:rsidRDefault="00651744">
            <w:pPr>
              <w:jc w:val="both"/>
            </w:pPr>
            <w:r>
              <w:t>не влияет</w:t>
            </w:r>
          </w:p>
        </w:tc>
        <w:tc>
          <w:tcPr>
            <w:tcW w:w="1317" w:type="dxa"/>
          </w:tcPr>
          <w:p w:rsidR="000000C0" w:rsidRDefault="000000C0">
            <w:pPr>
              <w:jc w:val="both"/>
            </w:pPr>
          </w:p>
        </w:tc>
        <w:tc>
          <w:tcPr>
            <w:tcW w:w="1555" w:type="dxa"/>
          </w:tcPr>
          <w:p w:rsidR="000000C0" w:rsidRDefault="00651744">
            <w:pPr>
              <w:jc w:val="both"/>
            </w:pPr>
            <w:r>
              <w:t>снижает прочность при сжатии вдоль волокон и при изгибе на 10%</w:t>
            </w:r>
          </w:p>
        </w:tc>
        <w:tc>
          <w:tcPr>
            <w:tcW w:w="1196" w:type="dxa"/>
          </w:tcPr>
          <w:p w:rsidR="000000C0" w:rsidRDefault="00651744">
            <w:pPr>
              <w:jc w:val="both"/>
            </w:pPr>
            <w:r>
              <w:t xml:space="preserve">не влияет </w:t>
            </w:r>
          </w:p>
        </w:tc>
      </w:tr>
      <w:tr w:rsidR="000000C0">
        <w:trPr>
          <w:trHeight w:val="23"/>
        </w:trPr>
        <w:tc>
          <w:tcPr>
            <w:tcW w:w="2958" w:type="dxa"/>
            <w:gridSpan w:val="2"/>
          </w:tcPr>
          <w:p w:rsidR="000000C0" w:rsidRDefault="00651744">
            <w:pPr>
              <w:jc w:val="both"/>
            </w:pPr>
            <w:r>
              <w:t>Влияние на коррозию металлических элементов конструкций</w:t>
            </w:r>
          </w:p>
        </w:tc>
        <w:tc>
          <w:tcPr>
            <w:tcW w:w="1342" w:type="dxa"/>
          </w:tcPr>
          <w:p w:rsidR="000000C0" w:rsidRDefault="00651744">
            <w:pPr>
              <w:jc w:val="both"/>
            </w:pPr>
            <w:r>
              <w:t>не влияет</w:t>
            </w:r>
          </w:p>
        </w:tc>
        <w:tc>
          <w:tcPr>
            <w:tcW w:w="1317" w:type="dxa"/>
          </w:tcPr>
          <w:p w:rsidR="000000C0" w:rsidRDefault="000000C0">
            <w:pPr>
              <w:jc w:val="both"/>
            </w:pPr>
          </w:p>
        </w:tc>
        <w:tc>
          <w:tcPr>
            <w:tcW w:w="1555" w:type="dxa"/>
          </w:tcPr>
          <w:p w:rsidR="000000C0" w:rsidRDefault="00651744">
            <w:pPr>
              <w:jc w:val="both"/>
            </w:pPr>
            <w:r>
              <w:t>способствует коррозии черных металлов</w:t>
            </w:r>
          </w:p>
        </w:tc>
        <w:tc>
          <w:tcPr>
            <w:tcW w:w="1196" w:type="dxa"/>
          </w:tcPr>
          <w:p w:rsidR="000000C0" w:rsidRDefault="00651744">
            <w:pPr>
              <w:jc w:val="both"/>
            </w:pPr>
            <w:r>
              <w:t>не влияет</w:t>
            </w:r>
          </w:p>
        </w:tc>
      </w:tr>
    </w:tbl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center"/>
        <w:rPr>
          <w:b/>
          <w:bCs/>
        </w:rPr>
      </w:pPr>
      <w:r>
        <w:rPr>
          <w:b/>
          <w:bCs/>
        </w:rPr>
        <w:t>5. ТЕХНИКО-ЭКОНОМИЧЕСКОЕ СРАВНЕНИЕ ВАРИАНТОВ ОГНЕЗАЩИТЫ ДЕРЕВЯННЫХ КОНСТРУКЦИЙ</w:t>
      </w:r>
    </w:p>
    <w:p w:rsidR="000000C0" w:rsidRDefault="000000C0">
      <w:pPr>
        <w:ind w:firstLine="284"/>
        <w:jc w:val="both"/>
      </w:pPr>
    </w:p>
    <w:p w:rsidR="000000C0" w:rsidRDefault="00651744">
      <w:pPr>
        <w:ind w:firstLine="284"/>
        <w:jc w:val="both"/>
      </w:pPr>
      <w:r>
        <w:t xml:space="preserve">5.1. Выбор вариантов огнезащиты деревянных конструкций производится с учетом результатов технико-экономических расчетов; при этом сравнение вариантов проводится по стоимости в </w:t>
      </w:r>
      <w:r w:rsidR="00EC0B7E">
        <w:t>«</w:t>
      </w:r>
      <w:r>
        <w:t>деле</w:t>
      </w:r>
      <w:r w:rsidR="00EC0B7E">
        <w:t>»</w:t>
      </w:r>
      <w:r>
        <w:t>.</w:t>
      </w:r>
    </w:p>
    <w:p w:rsidR="000000C0" w:rsidRDefault="00651744">
      <w:pPr>
        <w:ind w:firstLine="284"/>
        <w:jc w:val="both"/>
      </w:pPr>
      <w:r>
        <w:t xml:space="preserve">5.2. Стоимость огнезащиты в деле определяют по ведомственным методическим рекомендациям и инструкциям, утвержденным в установленном порядке, и в соответствии с </w:t>
      </w:r>
      <w:r w:rsidR="00EC0B7E">
        <w:t>«</w:t>
      </w:r>
      <w:r>
        <w:t>Методическими рекомендациями по технико-экономической оценке строительных конструкций</w:t>
      </w:r>
      <w:r w:rsidR="00EC0B7E">
        <w:t>»</w:t>
      </w:r>
      <w:r>
        <w:t>, М.: ЦНИИСК им. Кучеренко, 1967.</w:t>
      </w:r>
    </w:p>
    <w:p w:rsidR="000000C0" w:rsidRDefault="00651744">
      <w:pPr>
        <w:ind w:firstLine="284"/>
        <w:jc w:val="both"/>
      </w:pPr>
      <w:r>
        <w:lastRenderedPageBreak/>
        <w:t xml:space="preserve">Для определения стоимости </w:t>
      </w:r>
      <w:r w:rsidR="00EC0B7E">
        <w:t>«</w:t>
      </w:r>
      <w:r>
        <w:t>в деле</w:t>
      </w:r>
      <w:r w:rsidR="00EC0B7E">
        <w:t>»</w:t>
      </w:r>
      <w:r>
        <w:t xml:space="preserve"> (</w:t>
      </w:r>
      <w:proofErr w:type="spellStart"/>
      <w:r>
        <w:t>С</w:t>
      </w:r>
      <w:r>
        <w:rPr>
          <w:vertAlign w:val="subscript"/>
        </w:rPr>
        <w:t>д</w:t>
      </w:r>
      <w:proofErr w:type="spellEnd"/>
      <w:r>
        <w:t>) в общем случае используют расчетную формулу</w:t>
      </w:r>
    </w:p>
    <w:p w:rsidR="000000C0" w:rsidRDefault="00713C59">
      <w:pPr>
        <w:ind w:firstLine="284"/>
        <w:jc w:val="right"/>
        <w:rPr>
          <w:lang w:val="en-US"/>
        </w:rPr>
      </w:pPr>
      <w:r>
        <w:rPr>
          <w:position w:val="-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79pt;height:21pt">
            <v:imagedata r:id="rId6" o:title=""/>
          </v:shape>
        </w:pict>
      </w:r>
      <w:r w:rsidR="00651744">
        <w:t xml:space="preserve">, </w:t>
      </w:r>
      <w:r w:rsidR="00651744">
        <w:rPr>
          <w:lang w:val="en-US"/>
        </w:rPr>
        <w:t xml:space="preserve">                                     </w:t>
      </w:r>
      <w:r w:rsidR="00651744">
        <w:t>(1)</w:t>
      </w:r>
    </w:p>
    <w:p w:rsidR="000000C0" w:rsidRDefault="00651744">
      <w:pPr>
        <w:ind w:firstLine="284"/>
        <w:jc w:val="both"/>
      </w:pPr>
      <w:r>
        <w:t xml:space="preserve">где </w:t>
      </w:r>
      <w:proofErr w:type="spellStart"/>
      <w:r>
        <w:rPr>
          <w:i/>
          <w:iCs/>
        </w:rPr>
        <w:t>С</w:t>
      </w:r>
      <w:r>
        <w:rPr>
          <w:i/>
          <w:iCs/>
          <w:vertAlign w:val="subscript"/>
        </w:rPr>
        <w:t>к.з</w:t>
      </w:r>
      <w:proofErr w:type="spellEnd"/>
      <w:r>
        <w:rPr>
          <w:i/>
          <w:iCs/>
          <w:vertAlign w:val="subscript"/>
        </w:rPr>
        <w:t>.</w:t>
      </w:r>
      <w:r>
        <w:rPr>
          <w:vertAlign w:val="subscript"/>
        </w:rPr>
        <w:t xml:space="preserve"> </w:t>
      </w:r>
      <w:r>
        <w:t>- заводская стоимость материалов или составов, руб.;</w:t>
      </w:r>
    </w:p>
    <w:p w:rsidR="000000C0" w:rsidRDefault="00651744">
      <w:pPr>
        <w:ind w:firstLine="284"/>
        <w:jc w:val="both"/>
      </w:pPr>
      <w:proofErr w:type="spellStart"/>
      <w:proofErr w:type="gramStart"/>
      <w:r>
        <w:rPr>
          <w:i/>
          <w:iCs/>
        </w:rPr>
        <w:t>С</w:t>
      </w:r>
      <w:r>
        <w:rPr>
          <w:i/>
          <w:iCs/>
          <w:vertAlign w:val="subscript"/>
        </w:rPr>
        <w:t>тр</w:t>
      </w:r>
      <w:proofErr w:type="spellEnd"/>
      <w:proofErr w:type="gramEnd"/>
      <w:r>
        <w:t xml:space="preserve"> - стоимость транспортировки материала от завода-изготовителя до стройплощадки, руб.;</w:t>
      </w:r>
    </w:p>
    <w:p w:rsidR="000000C0" w:rsidRDefault="00651744">
      <w:pPr>
        <w:ind w:firstLine="284"/>
        <w:jc w:val="both"/>
      </w:pPr>
      <w:proofErr w:type="spellStart"/>
      <w:r>
        <w:rPr>
          <w:i/>
          <w:iCs/>
        </w:rPr>
        <w:t>К</w:t>
      </w:r>
      <w:r>
        <w:rPr>
          <w:i/>
          <w:iCs/>
          <w:vertAlign w:val="subscript"/>
        </w:rPr>
        <w:t>з.ск</w:t>
      </w:r>
      <w:proofErr w:type="spellEnd"/>
      <w:r>
        <w:rPr>
          <w:i/>
          <w:iCs/>
          <w:vertAlign w:val="subscript"/>
        </w:rPr>
        <w:t>.</w:t>
      </w:r>
      <w:r>
        <w:t xml:space="preserve"> - коэффициент, учитывающий заготовительно-складские расходы в размере 2 % от заводской стоимости;</w:t>
      </w:r>
    </w:p>
    <w:p w:rsidR="000000C0" w:rsidRDefault="00651744">
      <w:pPr>
        <w:ind w:firstLine="284"/>
        <w:jc w:val="both"/>
      </w:pPr>
      <w:proofErr w:type="spellStart"/>
      <w:r>
        <w:rPr>
          <w:i/>
          <w:iCs/>
        </w:rPr>
        <w:t>С</w:t>
      </w:r>
      <w:r>
        <w:rPr>
          <w:i/>
          <w:iCs/>
          <w:vertAlign w:val="subscript"/>
        </w:rPr>
        <w:t>монт</w:t>
      </w:r>
      <w:proofErr w:type="spellEnd"/>
      <w:r>
        <w:t xml:space="preserve"> - стоимость нанесения покрытия, руб.;</w:t>
      </w:r>
    </w:p>
    <w:p w:rsidR="000000C0" w:rsidRDefault="00651744">
      <w:pPr>
        <w:ind w:firstLine="284"/>
        <w:jc w:val="both"/>
      </w:pPr>
      <w:proofErr w:type="spellStart"/>
      <w:r>
        <w:rPr>
          <w:i/>
          <w:iCs/>
        </w:rPr>
        <w:t>К</w:t>
      </w:r>
      <w:r>
        <w:rPr>
          <w:i/>
          <w:iCs/>
          <w:vertAlign w:val="subscript"/>
        </w:rPr>
        <w:t>накл</w:t>
      </w:r>
      <w:proofErr w:type="spellEnd"/>
      <w:r>
        <w:t xml:space="preserve"> - коэффициент, учитывающий накладные расходы в размере 16,2 % от стоимости прямых затрат;</w:t>
      </w:r>
    </w:p>
    <w:p w:rsidR="000000C0" w:rsidRDefault="00651744">
      <w:pPr>
        <w:ind w:firstLine="284"/>
        <w:jc w:val="both"/>
      </w:pPr>
      <w:proofErr w:type="spellStart"/>
      <w:r>
        <w:rPr>
          <w:i/>
          <w:iCs/>
        </w:rPr>
        <w:t>К</w:t>
      </w:r>
      <w:r>
        <w:rPr>
          <w:i/>
          <w:iCs/>
          <w:vertAlign w:val="subscript"/>
        </w:rPr>
        <w:t>пл</w:t>
      </w:r>
      <w:proofErr w:type="spellEnd"/>
      <w:r>
        <w:t xml:space="preserve"> - коэффициент, учитывающий плановые накопления, в размере 8 % от общей стоимости конструкций.</w:t>
      </w:r>
    </w:p>
    <w:p w:rsidR="000000C0" w:rsidRDefault="00651744">
      <w:pPr>
        <w:ind w:firstLine="284"/>
        <w:jc w:val="both"/>
      </w:pPr>
      <w:r>
        <w:t>Заводская стоимость материалов (</w:t>
      </w:r>
      <w:proofErr w:type="spellStart"/>
      <w:r>
        <w:t>С</w:t>
      </w:r>
      <w:r>
        <w:rPr>
          <w:vertAlign w:val="subscript"/>
        </w:rPr>
        <w:t>к</w:t>
      </w:r>
      <w:proofErr w:type="gramStart"/>
      <w:r>
        <w:rPr>
          <w:vertAlign w:val="subscript"/>
        </w:rPr>
        <w:t>.з</w:t>
      </w:r>
      <w:proofErr w:type="spellEnd"/>
      <w:proofErr w:type="gramEnd"/>
      <w:r>
        <w:t>) определяется по формуле</w:t>
      </w:r>
    </w:p>
    <w:p w:rsidR="000000C0" w:rsidRDefault="00713C59">
      <w:pPr>
        <w:ind w:firstLine="284"/>
        <w:jc w:val="right"/>
      </w:pPr>
      <w:r>
        <w:rPr>
          <w:position w:val="-10"/>
        </w:rPr>
        <w:pict>
          <v:shape id="_x0000_i1025" type="#_x0000_t75" style="width:180pt;height:15.5pt">
            <v:imagedata r:id="rId7" o:title=""/>
          </v:shape>
        </w:pict>
      </w:r>
      <w:r w:rsidR="00651744">
        <w:t>,</w:t>
      </w:r>
      <w:r w:rsidR="00651744">
        <w:rPr>
          <w:lang w:val="en-US"/>
        </w:rPr>
        <w:t xml:space="preserve">                                     </w:t>
      </w:r>
      <w:r w:rsidR="00651744">
        <w:t xml:space="preserve"> (2)</w:t>
      </w:r>
    </w:p>
    <w:p w:rsidR="000000C0" w:rsidRDefault="00651744">
      <w:pPr>
        <w:ind w:firstLine="284"/>
        <w:jc w:val="both"/>
      </w:pPr>
      <w:r>
        <w:t xml:space="preserve">где </w:t>
      </w:r>
      <w:proofErr w:type="gramStart"/>
      <w:r>
        <w:rPr>
          <w:i/>
          <w:iCs/>
        </w:rPr>
        <w:t>С</w:t>
      </w:r>
      <w:r>
        <w:rPr>
          <w:i/>
          <w:iCs/>
          <w:vertAlign w:val="subscript"/>
        </w:rPr>
        <w:t>м</w:t>
      </w:r>
      <w:proofErr w:type="gramEnd"/>
      <w:r>
        <w:t xml:space="preserve"> - стоимость основных исходных материалов, руб.;</w:t>
      </w:r>
    </w:p>
    <w:p w:rsidR="000000C0" w:rsidRDefault="00651744">
      <w:pPr>
        <w:ind w:firstLine="284"/>
        <w:jc w:val="both"/>
      </w:pPr>
      <w:proofErr w:type="spellStart"/>
      <w:r>
        <w:rPr>
          <w:i/>
          <w:iCs/>
        </w:rPr>
        <w:t>Ц</w:t>
      </w:r>
      <w:r>
        <w:rPr>
          <w:i/>
          <w:iCs/>
          <w:vertAlign w:val="subscript"/>
        </w:rPr>
        <w:t>з</w:t>
      </w:r>
      <w:proofErr w:type="spellEnd"/>
      <w:r>
        <w:t xml:space="preserve"> - основная и дополнительная зарплата за один чел</w:t>
      </w:r>
      <w:proofErr w:type="gramStart"/>
      <w:r>
        <w:t>.-</w:t>
      </w:r>
      <w:proofErr w:type="gramEnd"/>
      <w:r>
        <w:t>ч, руб.;</w:t>
      </w:r>
    </w:p>
    <w:p w:rsidR="000000C0" w:rsidRDefault="00651744">
      <w:pPr>
        <w:ind w:firstLine="284"/>
        <w:jc w:val="both"/>
      </w:pPr>
      <w:r>
        <w:rPr>
          <w:i/>
          <w:iCs/>
        </w:rPr>
        <w:t>Т</w:t>
      </w:r>
      <w:r>
        <w:t xml:space="preserve"> - заводская трудоемкость при изготовлении составов или пропитывании древесины, чел</w:t>
      </w:r>
      <w:proofErr w:type="gramStart"/>
      <w:r>
        <w:t>.-</w:t>
      </w:r>
      <w:proofErr w:type="gramEnd"/>
      <w:r>
        <w:t>ч,</w:t>
      </w:r>
    </w:p>
    <w:p w:rsidR="000000C0" w:rsidRDefault="00651744">
      <w:pPr>
        <w:ind w:firstLine="284"/>
        <w:jc w:val="both"/>
      </w:pPr>
      <w:r>
        <w:rPr>
          <w:i/>
          <w:iCs/>
        </w:rPr>
        <w:t>К</w:t>
      </w:r>
      <w:r>
        <w:rPr>
          <w:i/>
          <w:iCs/>
          <w:lang w:val="en-US"/>
        </w:rPr>
        <w:sym w:font="Symbol" w:char="F0A2"/>
      </w:r>
      <w:proofErr w:type="spellStart"/>
      <w:proofErr w:type="gramStart"/>
      <w:r>
        <w:rPr>
          <w:i/>
          <w:iCs/>
          <w:vertAlign w:val="subscript"/>
        </w:rPr>
        <w:t>накл</w:t>
      </w:r>
      <w:proofErr w:type="spellEnd"/>
      <w:proofErr w:type="gramEnd"/>
      <w:r>
        <w:t xml:space="preserve"> - коэффициент, учитывающий цеховые и общезаводские расходы в размере 160 % от основной и дополнительной заработной платы;</w:t>
      </w:r>
    </w:p>
    <w:p w:rsidR="000000C0" w:rsidRDefault="00651744">
      <w:pPr>
        <w:ind w:firstLine="284"/>
        <w:jc w:val="both"/>
      </w:pPr>
      <w:proofErr w:type="spellStart"/>
      <w:r>
        <w:rPr>
          <w:i/>
          <w:iCs/>
        </w:rPr>
        <w:t>К</w:t>
      </w:r>
      <w:r>
        <w:rPr>
          <w:i/>
          <w:iCs/>
          <w:vertAlign w:val="subscript"/>
        </w:rPr>
        <w:t>внез</w:t>
      </w:r>
      <w:proofErr w:type="spellEnd"/>
      <w:r>
        <w:t xml:space="preserve"> - коэффициент, учитывающий </w:t>
      </w:r>
      <w:proofErr w:type="spellStart"/>
      <w:r>
        <w:t>внезаводские</w:t>
      </w:r>
      <w:proofErr w:type="spellEnd"/>
      <w:r>
        <w:t xml:space="preserve"> расходы в размере 2 % от себестоимости;</w:t>
      </w:r>
    </w:p>
    <w:p w:rsidR="000000C0" w:rsidRDefault="00651744">
      <w:pPr>
        <w:ind w:firstLine="284"/>
        <w:jc w:val="both"/>
      </w:pPr>
      <w:r>
        <w:rPr>
          <w:i/>
          <w:iCs/>
        </w:rPr>
        <w:t>К</w:t>
      </w:r>
      <w:r>
        <w:rPr>
          <w:i/>
          <w:iCs/>
          <w:lang w:val="en-US"/>
        </w:rPr>
        <w:sym w:font="Symbol" w:char="F0A2"/>
      </w:r>
      <w:proofErr w:type="spellStart"/>
      <w:proofErr w:type="gramStart"/>
      <w:r>
        <w:rPr>
          <w:i/>
          <w:iCs/>
          <w:vertAlign w:val="subscript"/>
        </w:rPr>
        <w:t>пл</w:t>
      </w:r>
      <w:proofErr w:type="spellEnd"/>
      <w:proofErr w:type="gramEnd"/>
      <w:r>
        <w:t xml:space="preserve"> - коэффициент, учитывающий плановые накопления в размере 10 % от себестоимости с учетом </w:t>
      </w:r>
      <w:proofErr w:type="spellStart"/>
      <w:r>
        <w:t>внезаводских</w:t>
      </w:r>
      <w:proofErr w:type="spellEnd"/>
      <w:r>
        <w:t xml:space="preserve"> расходов.</w:t>
      </w:r>
    </w:p>
    <w:p w:rsidR="000000C0" w:rsidRDefault="00651744">
      <w:pPr>
        <w:ind w:firstLine="284"/>
        <w:jc w:val="both"/>
      </w:pPr>
      <w:r>
        <w:t xml:space="preserve">5.3. Необходимо учитывать особенности технологии производственного процесса приготовления и нанесения рекомендуемых огнезащитных составов. Для составов поверхностного нанесения, приготавливаемых в заводских условиях (ВПД и ОФП-9), при расчете стоимости </w:t>
      </w:r>
      <w:r w:rsidR="00EC0B7E">
        <w:t>«</w:t>
      </w:r>
      <w:r>
        <w:t>в деле</w:t>
      </w:r>
      <w:r w:rsidR="00EC0B7E">
        <w:t>»</w:t>
      </w:r>
      <w:r>
        <w:t xml:space="preserve"> заводская стоимость </w:t>
      </w:r>
      <w:proofErr w:type="spellStart"/>
      <w:r>
        <w:rPr>
          <w:i/>
          <w:iCs/>
        </w:rPr>
        <w:t>С</w:t>
      </w:r>
      <w:r>
        <w:rPr>
          <w:i/>
          <w:iCs/>
          <w:vertAlign w:val="subscript"/>
        </w:rPr>
        <w:t>кз</w:t>
      </w:r>
      <w:proofErr w:type="spellEnd"/>
      <w:r>
        <w:t xml:space="preserve"> определяется отпускной ценой завода-изготовителя без использования формулы (2); для состава поверхностного нанесения, приготавливаемого в построечных условиях (ТХЭФ)</w:t>
      </w:r>
      <w:proofErr w:type="gramStart"/>
      <w:r>
        <w:t>,с</w:t>
      </w:r>
      <w:proofErr w:type="gramEnd"/>
      <w:r>
        <w:t xml:space="preserve">тоимость </w:t>
      </w:r>
      <w:proofErr w:type="spellStart"/>
      <w:r>
        <w:rPr>
          <w:i/>
          <w:iCs/>
        </w:rPr>
        <w:t>С</w:t>
      </w:r>
      <w:r>
        <w:rPr>
          <w:i/>
          <w:iCs/>
          <w:vertAlign w:val="subscript"/>
        </w:rPr>
        <w:t>кз</w:t>
      </w:r>
      <w:proofErr w:type="spellEnd"/>
      <w:r>
        <w:t xml:space="preserve"> совпадает со стоимостью основных исходных материалов </w:t>
      </w:r>
      <w:r>
        <w:rPr>
          <w:i/>
          <w:iCs/>
        </w:rPr>
        <w:t>С</w:t>
      </w:r>
      <w:r>
        <w:rPr>
          <w:i/>
          <w:iCs/>
          <w:vertAlign w:val="subscript"/>
        </w:rPr>
        <w:t>м</w:t>
      </w:r>
      <w:r>
        <w:t xml:space="preserve">; для пропиточного состава (МС 1:1) стоимость </w:t>
      </w:r>
      <w:r w:rsidR="00EC0B7E">
        <w:t>«</w:t>
      </w:r>
      <w:r>
        <w:t>в деле</w:t>
      </w:r>
      <w:r w:rsidR="00EC0B7E">
        <w:t>»</w:t>
      </w:r>
      <w:r>
        <w:t xml:space="preserve"> </w:t>
      </w:r>
      <w:proofErr w:type="spellStart"/>
      <w:r>
        <w:rPr>
          <w:i/>
          <w:iCs/>
        </w:rPr>
        <w:t>С</w:t>
      </w:r>
      <w:r>
        <w:rPr>
          <w:i/>
          <w:iCs/>
          <w:vertAlign w:val="subscript"/>
        </w:rPr>
        <w:t>д</w:t>
      </w:r>
      <w:proofErr w:type="spellEnd"/>
      <w:r>
        <w:t xml:space="preserve"> совпадает с величиной </w:t>
      </w:r>
      <w:proofErr w:type="spellStart"/>
      <w:r>
        <w:rPr>
          <w:i/>
          <w:iCs/>
        </w:rPr>
        <w:t>С</w:t>
      </w:r>
      <w:r>
        <w:rPr>
          <w:i/>
          <w:iCs/>
          <w:vertAlign w:val="subscript"/>
        </w:rPr>
        <w:t>к.з</w:t>
      </w:r>
      <w:proofErr w:type="spellEnd"/>
      <w:r>
        <w:rPr>
          <w:i/>
          <w:iCs/>
          <w:vertAlign w:val="subscript"/>
        </w:rPr>
        <w:t>.</w:t>
      </w:r>
      <w:r>
        <w:t xml:space="preserve"> определяемой по формуле (2).</w:t>
      </w:r>
    </w:p>
    <w:p w:rsidR="000000C0" w:rsidRDefault="00651744">
      <w:pPr>
        <w:ind w:firstLine="284"/>
        <w:jc w:val="both"/>
      </w:pPr>
      <w:r>
        <w:t xml:space="preserve">Затраты на изготовление, транспортировку и монтаж защищаемых конструкций принимаются </w:t>
      </w:r>
      <w:proofErr w:type="gramStart"/>
      <w:r>
        <w:t>одинаковыми</w:t>
      </w:r>
      <w:proofErr w:type="gramEnd"/>
      <w:r>
        <w:t xml:space="preserve"> для всех видов огнезащиты и в расчете не учитываются. </w:t>
      </w:r>
    </w:p>
    <w:p w:rsidR="000000C0" w:rsidRDefault="00651744">
      <w:pPr>
        <w:ind w:firstLine="284"/>
        <w:jc w:val="both"/>
        <w:rPr>
          <w:lang w:val="en-US"/>
        </w:rPr>
      </w:pPr>
      <w:r>
        <w:t xml:space="preserve">5.4. Для сравнения вариантов применения огнезащиты деревянных конструкций приведен пример расчета стоимости </w:t>
      </w:r>
      <w:r w:rsidR="00EC0B7E">
        <w:t>«</w:t>
      </w:r>
      <w:r>
        <w:t>в деле</w:t>
      </w:r>
      <w:r w:rsidR="00EC0B7E">
        <w:t>»</w:t>
      </w:r>
      <w:r>
        <w:t xml:space="preserve"> (см. приложение)</w:t>
      </w:r>
      <w:proofErr w:type="gramStart"/>
      <w:r>
        <w:t xml:space="preserve"> .</w:t>
      </w:r>
      <w:proofErr w:type="gramEnd"/>
      <w:r>
        <w:t>При окончательном выборе варианта огнезащиты следует учитывать возможные ограничения по технологии нанесения, вытекающие из раздела 1 настоящих Рекомендаций.</w:t>
      </w:r>
    </w:p>
    <w:p w:rsidR="00EC0B7E" w:rsidRDefault="00EC0B7E">
      <w:pPr>
        <w:widowControl/>
        <w:autoSpaceDE/>
        <w:autoSpaceDN/>
        <w:adjustRightInd/>
      </w:pPr>
      <w:r>
        <w:br w:type="page"/>
      </w:r>
    </w:p>
    <w:p w:rsidR="000000C0" w:rsidRDefault="00651744">
      <w:pPr>
        <w:ind w:firstLine="284"/>
        <w:jc w:val="right"/>
        <w:rPr>
          <w:lang w:val="en-US"/>
        </w:rPr>
      </w:pPr>
      <w:r>
        <w:lastRenderedPageBreak/>
        <w:t>Приложение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center"/>
        <w:rPr>
          <w:b/>
          <w:bCs/>
        </w:rPr>
      </w:pPr>
      <w:r>
        <w:rPr>
          <w:b/>
          <w:bCs/>
        </w:rPr>
        <w:t>Пример сравнения вариантов огнезащиты деревянных конструкций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both"/>
      </w:pPr>
      <w:r>
        <w:t xml:space="preserve">Расчет стоимости </w:t>
      </w:r>
      <w:r w:rsidR="00EC0B7E">
        <w:t>«</w:t>
      </w:r>
      <w:r>
        <w:t>в деле</w:t>
      </w:r>
      <w:r w:rsidR="00EC0B7E">
        <w:t>»</w:t>
      </w:r>
      <w:r>
        <w:t xml:space="preserve"> огнезащиты 1 м</w:t>
      </w:r>
      <w:proofErr w:type="gramStart"/>
      <w:r>
        <w:rPr>
          <w:vertAlign w:val="superscript"/>
        </w:rPr>
        <w:t>2</w:t>
      </w:r>
      <w:proofErr w:type="gramEnd"/>
      <w:r>
        <w:t xml:space="preserve"> поверхности (при применении составов поверхностного нанесения) или 1 м</w:t>
      </w:r>
      <w:r>
        <w:rPr>
          <w:vertAlign w:val="superscript"/>
        </w:rPr>
        <w:t>3</w:t>
      </w:r>
      <w:r>
        <w:t xml:space="preserve"> древесины при применении пропиточных составов выполнен для строительного объекта, расположенного в г. Москве.</w:t>
      </w:r>
    </w:p>
    <w:p w:rsidR="000000C0" w:rsidRDefault="00651744">
      <w:pPr>
        <w:ind w:firstLine="284"/>
        <w:jc w:val="both"/>
      </w:pPr>
      <w:r>
        <w:t xml:space="preserve">Расчет стоимости исходных материалов </w:t>
      </w:r>
      <w:proofErr w:type="gramStart"/>
      <w:r>
        <w:rPr>
          <w:i/>
          <w:iCs/>
        </w:rPr>
        <w:t>С</w:t>
      </w:r>
      <w:r>
        <w:rPr>
          <w:i/>
          <w:iCs/>
          <w:vertAlign w:val="subscript"/>
        </w:rPr>
        <w:t>м</w:t>
      </w:r>
      <w:proofErr w:type="gramEnd"/>
      <w:r>
        <w:t xml:space="preserve"> для составов МС 1:1 и ТХЭФ приведен в табл.1, стоимости нанесения покрытий </w:t>
      </w:r>
      <w:proofErr w:type="spellStart"/>
      <w:r>
        <w:rPr>
          <w:i/>
          <w:iCs/>
        </w:rPr>
        <w:t>С</w:t>
      </w:r>
      <w:r>
        <w:rPr>
          <w:i/>
          <w:iCs/>
          <w:vertAlign w:val="subscript"/>
        </w:rPr>
        <w:t>монт</w:t>
      </w:r>
      <w:proofErr w:type="spellEnd"/>
      <w:r>
        <w:t xml:space="preserve"> - в табл.2. Трудоемкость огнезащиты древесины пропиточными составами в заводских условиях и усредненная стоимость этого процесса Ц</w:t>
      </w:r>
      <w:r>
        <w:rPr>
          <w:vertAlign w:val="subscript"/>
        </w:rPr>
        <w:t>3</w:t>
      </w:r>
      <w:r>
        <w:t xml:space="preserve"> приняты по данным Деревообрабатывающего комбината № 3 </w:t>
      </w:r>
      <w:proofErr w:type="spellStart"/>
      <w:r>
        <w:t>г</w:t>
      </w:r>
      <w:proofErr w:type="gramStart"/>
      <w:r>
        <w:t>.М</w:t>
      </w:r>
      <w:proofErr w:type="gramEnd"/>
      <w:r>
        <w:t>осквы</w:t>
      </w:r>
      <w:proofErr w:type="spellEnd"/>
      <w:r>
        <w:t>.</w:t>
      </w:r>
    </w:p>
    <w:p w:rsidR="000000C0" w:rsidRDefault="00651744">
      <w:pPr>
        <w:ind w:firstLine="284"/>
        <w:jc w:val="both"/>
      </w:pPr>
      <w:r>
        <w:t xml:space="preserve">Транспортные расходы для составов ОФП-9 и ВПД определены с учетом реального местонахождения заводов и представлены в табл.3. При определении стоимости </w:t>
      </w:r>
      <w:r w:rsidR="00EC0B7E">
        <w:t>«</w:t>
      </w:r>
      <w:r>
        <w:t>в деле</w:t>
      </w:r>
      <w:r w:rsidR="00EC0B7E">
        <w:t>»</w:t>
      </w:r>
      <w:r>
        <w:t xml:space="preserve"> огнезащиты с применением состава ТХЭФ стоимость транспортирования его компонентов не учитывалась, предполагая их централизованную поставку.</w:t>
      </w:r>
    </w:p>
    <w:p w:rsidR="000000C0" w:rsidRDefault="00651744">
      <w:pPr>
        <w:ind w:firstLine="284"/>
        <w:jc w:val="both"/>
        <w:rPr>
          <w:lang w:val="en-US"/>
        </w:rPr>
      </w:pPr>
      <w:r>
        <w:t xml:space="preserve">Расчет стоимости </w:t>
      </w:r>
      <w:r w:rsidR="00EC0B7E">
        <w:t>«</w:t>
      </w:r>
      <w:r>
        <w:t>в деле</w:t>
      </w:r>
      <w:r w:rsidR="00EC0B7E">
        <w:t>»</w:t>
      </w:r>
      <w:r>
        <w:t xml:space="preserve"> рекомендуемых огнезащитных составов представлен в табл.4. Сравнение результатов расчета показывает, что для условий строительства в г. Москве при принятой схеме транспортирования наименьшую стоимость имеет огнезащитное покрытие ОФП-9.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right"/>
        <w:rPr>
          <w:lang w:val="en-US"/>
        </w:rPr>
      </w:pPr>
      <w:r>
        <w:t>Таблица 1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center"/>
        <w:rPr>
          <w:b/>
          <w:bCs/>
          <w:lang w:val="en-US"/>
        </w:rPr>
      </w:pPr>
      <w:r>
        <w:rPr>
          <w:b/>
          <w:bCs/>
        </w:rPr>
        <w:t>Расчет стоимости основных исходных материалов для огнезащитных составов</w:t>
      </w:r>
    </w:p>
    <w:p w:rsidR="000000C0" w:rsidRDefault="000000C0">
      <w:pPr>
        <w:ind w:firstLine="284"/>
        <w:jc w:val="both"/>
        <w:rPr>
          <w:lang w:val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7"/>
        <w:gridCol w:w="1394"/>
        <w:gridCol w:w="824"/>
        <w:gridCol w:w="1164"/>
        <w:gridCol w:w="720"/>
        <w:gridCol w:w="1139"/>
        <w:gridCol w:w="1310"/>
      </w:tblGrid>
      <w:tr w:rsidR="000000C0">
        <w:trPr>
          <w:trHeight w:val="23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Материалы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Расход материалов в кг/м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(кг/м</w:t>
            </w:r>
            <w:r>
              <w:rPr>
                <w:vertAlign w:val="superscript"/>
              </w:rPr>
              <w:t>3</w:t>
            </w:r>
            <w:r>
              <w:t>) защищаемой конструкции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Отходы, %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Расход материалов с учетом отходов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 xml:space="preserve">Цена, </w:t>
            </w:r>
            <w:proofErr w:type="spellStart"/>
            <w:r>
              <w:t>руб</w:t>
            </w:r>
            <w:proofErr w:type="spellEnd"/>
            <w:r>
              <w:t>/</w:t>
            </w:r>
            <w:proofErr w:type="gramStart"/>
            <w:r>
              <w:t>кг</w:t>
            </w:r>
            <w:proofErr w:type="gramEnd"/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Стоимость, руб.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Обоснование</w:t>
            </w:r>
          </w:p>
        </w:tc>
      </w:tr>
      <w:tr w:rsidR="000000C0">
        <w:trPr>
          <w:cantSplit/>
          <w:trHeight w:val="23"/>
        </w:trPr>
        <w:tc>
          <w:tcPr>
            <w:tcW w:w="836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Состав МС 1:1</w:t>
            </w:r>
          </w:p>
        </w:tc>
      </w:tr>
      <w:tr w:rsidR="000000C0">
        <w:trPr>
          <w:cantSplit/>
          <w:trHeight w:val="23"/>
        </w:trPr>
        <w:tc>
          <w:tcPr>
            <w:tcW w:w="18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proofErr w:type="spellStart"/>
            <w:r>
              <w:t>Диаммонийфосфат</w:t>
            </w:r>
            <w:proofErr w:type="spellEnd"/>
          </w:p>
        </w:tc>
        <w:tc>
          <w:tcPr>
            <w:tcW w:w="139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(4.95)</w:t>
            </w:r>
          </w:p>
        </w:tc>
        <w:tc>
          <w:tcPr>
            <w:tcW w:w="82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5</w:t>
            </w:r>
          </w:p>
        </w:tc>
        <w:tc>
          <w:tcPr>
            <w:tcW w:w="11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5,20</w:t>
            </w:r>
          </w:p>
        </w:tc>
        <w:tc>
          <w:tcPr>
            <w:tcW w:w="720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0,47</w:t>
            </w:r>
          </w:p>
        </w:tc>
        <w:tc>
          <w:tcPr>
            <w:tcW w:w="113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14,4</w:t>
            </w:r>
          </w:p>
        </w:tc>
        <w:tc>
          <w:tcPr>
            <w:tcW w:w="1310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Прейскурант № 05-01 часть 1</w:t>
            </w:r>
          </w:p>
        </w:tc>
      </w:tr>
      <w:tr w:rsidR="000000C0">
        <w:trPr>
          <w:trHeight w:val="23"/>
        </w:trPr>
        <w:tc>
          <w:tcPr>
            <w:tcW w:w="18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Сульфат аммония</w:t>
            </w:r>
          </w:p>
        </w:tc>
        <w:tc>
          <w:tcPr>
            <w:tcW w:w="139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(4.95)</w:t>
            </w:r>
          </w:p>
        </w:tc>
        <w:tc>
          <w:tcPr>
            <w:tcW w:w="82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то же</w:t>
            </w:r>
          </w:p>
        </w:tc>
        <w:tc>
          <w:tcPr>
            <w:tcW w:w="11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5,20</w:t>
            </w:r>
          </w:p>
        </w:tc>
        <w:tc>
          <w:tcPr>
            <w:tcW w:w="720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0,04</w:t>
            </w:r>
          </w:p>
        </w:tc>
        <w:tc>
          <w:tcPr>
            <w:tcW w:w="113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1.22</w:t>
            </w:r>
          </w:p>
        </w:tc>
        <w:tc>
          <w:tcPr>
            <w:tcW w:w="1310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то же</w:t>
            </w:r>
          </w:p>
        </w:tc>
      </w:tr>
      <w:tr w:rsidR="000000C0">
        <w:trPr>
          <w:cantSplit/>
          <w:trHeight w:val="23"/>
        </w:trPr>
        <w:tc>
          <w:tcPr>
            <w:tcW w:w="18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  <w:rPr>
                <w:lang w:val="en-US"/>
              </w:rPr>
            </w:pPr>
            <w:r>
              <w:t>Фтористый натрий</w:t>
            </w:r>
          </w:p>
        </w:tc>
        <w:tc>
          <w:tcPr>
            <w:tcW w:w="139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(1,32)</w:t>
            </w:r>
          </w:p>
        </w:tc>
        <w:tc>
          <w:tcPr>
            <w:tcW w:w="82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то же</w:t>
            </w:r>
          </w:p>
        </w:tc>
        <w:tc>
          <w:tcPr>
            <w:tcW w:w="11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1,39</w:t>
            </w:r>
          </w:p>
        </w:tc>
        <w:tc>
          <w:tcPr>
            <w:tcW w:w="720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0,36</w:t>
            </w:r>
          </w:p>
        </w:tc>
        <w:tc>
          <w:tcPr>
            <w:tcW w:w="113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2,95</w:t>
            </w:r>
          </w:p>
        </w:tc>
        <w:tc>
          <w:tcPr>
            <w:tcW w:w="1310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то же</w:t>
            </w:r>
          </w:p>
        </w:tc>
      </w:tr>
      <w:tr w:rsidR="000000C0">
        <w:trPr>
          <w:cantSplit/>
          <w:trHeight w:val="23"/>
        </w:trPr>
        <w:tc>
          <w:tcPr>
            <w:tcW w:w="8368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Состав ТХЭФ</w:t>
            </w:r>
          </w:p>
        </w:tc>
      </w:tr>
      <w:tr w:rsidR="000000C0">
        <w:trPr>
          <w:cantSplit/>
          <w:trHeight w:val="23"/>
        </w:trPr>
        <w:tc>
          <w:tcPr>
            <w:tcW w:w="18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proofErr w:type="spellStart"/>
            <w:r>
              <w:t>Трихлорэтилфосфат</w:t>
            </w:r>
            <w:proofErr w:type="spellEnd"/>
          </w:p>
        </w:tc>
        <w:tc>
          <w:tcPr>
            <w:tcW w:w="139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0,24</w:t>
            </w:r>
          </w:p>
        </w:tc>
        <w:tc>
          <w:tcPr>
            <w:tcW w:w="82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5</w:t>
            </w:r>
          </w:p>
        </w:tc>
        <w:tc>
          <w:tcPr>
            <w:tcW w:w="11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0,25</w:t>
            </w:r>
          </w:p>
        </w:tc>
        <w:tc>
          <w:tcPr>
            <w:tcW w:w="720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2,0</w:t>
            </w:r>
          </w:p>
        </w:tc>
        <w:tc>
          <w:tcPr>
            <w:tcW w:w="113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0,50</w:t>
            </w:r>
          </w:p>
        </w:tc>
        <w:tc>
          <w:tcPr>
            <w:tcW w:w="1310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Прейскурант № 05-01 часть 1</w:t>
            </w:r>
          </w:p>
        </w:tc>
      </w:tr>
      <w:tr w:rsidR="000000C0">
        <w:trPr>
          <w:cantSplit/>
          <w:trHeight w:val="23"/>
        </w:trPr>
        <w:tc>
          <w:tcPr>
            <w:tcW w:w="181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Четыреххлористый углерод</w:t>
            </w:r>
          </w:p>
        </w:tc>
        <w:tc>
          <w:tcPr>
            <w:tcW w:w="139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0,36</w:t>
            </w:r>
          </w:p>
        </w:tc>
        <w:tc>
          <w:tcPr>
            <w:tcW w:w="82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то же</w:t>
            </w:r>
          </w:p>
        </w:tc>
        <w:tc>
          <w:tcPr>
            <w:tcW w:w="116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0,38</w:t>
            </w:r>
          </w:p>
        </w:tc>
        <w:tc>
          <w:tcPr>
            <w:tcW w:w="7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0,315</w:t>
            </w:r>
          </w:p>
        </w:tc>
        <w:tc>
          <w:tcPr>
            <w:tcW w:w="113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0,12</w:t>
            </w:r>
          </w:p>
        </w:tc>
        <w:tc>
          <w:tcPr>
            <w:tcW w:w="1310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то же</w:t>
            </w:r>
          </w:p>
        </w:tc>
      </w:tr>
      <w:tr w:rsidR="000000C0">
        <w:trPr>
          <w:cantSplit/>
          <w:trHeight w:val="23"/>
        </w:trPr>
        <w:tc>
          <w:tcPr>
            <w:tcW w:w="18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1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  <w:tc>
          <w:tcPr>
            <w:tcW w:w="8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  <w:tc>
          <w:tcPr>
            <w:tcW w:w="116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Итого 0,62</w:t>
            </w:r>
          </w:p>
        </w:tc>
        <w:tc>
          <w:tcPr>
            <w:tcW w:w="13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</w:tbl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right"/>
        <w:rPr>
          <w:lang w:val="en-US"/>
        </w:rPr>
      </w:pPr>
      <w:r>
        <w:t>Таблица 2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center"/>
        <w:rPr>
          <w:b/>
          <w:bCs/>
          <w:lang w:val="en-US"/>
        </w:rPr>
      </w:pPr>
      <w:r>
        <w:rPr>
          <w:b/>
          <w:bCs/>
        </w:rPr>
        <w:t>Расчет трудоемкости и стоимости нанесения огнезащитных покрытий</w:t>
      </w:r>
    </w:p>
    <w:p w:rsidR="000000C0" w:rsidRDefault="000000C0">
      <w:pPr>
        <w:ind w:firstLine="284"/>
        <w:jc w:val="both"/>
        <w:rPr>
          <w:lang w:val="en-US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7"/>
        <w:gridCol w:w="693"/>
        <w:gridCol w:w="899"/>
        <w:gridCol w:w="906"/>
        <w:gridCol w:w="1119"/>
        <w:gridCol w:w="890"/>
        <w:gridCol w:w="1145"/>
        <w:gridCol w:w="1189"/>
      </w:tblGrid>
      <w:tr w:rsidR="000000C0">
        <w:trPr>
          <w:cantSplit/>
          <w:trHeight w:val="23"/>
        </w:trPr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Операции</w:t>
            </w:r>
          </w:p>
        </w:tc>
        <w:tc>
          <w:tcPr>
            <w:tcW w:w="6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 xml:space="preserve">Ед. </w:t>
            </w:r>
            <w:proofErr w:type="spellStart"/>
            <w:r>
              <w:t>изме</w:t>
            </w:r>
            <w:proofErr w:type="spellEnd"/>
            <w:r>
              <w:t>-</w:t>
            </w:r>
          </w:p>
          <w:p w:rsidR="000000C0" w:rsidRDefault="00651744">
            <w:pPr>
              <w:jc w:val="center"/>
            </w:pPr>
            <w:r>
              <w:t>рения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Нормы времени, чел</w:t>
            </w:r>
            <w:proofErr w:type="gramStart"/>
            <w:r>
              <w:t>.-</w:t>
            </w:r>
            <w:proofErr w:type="gramEnd"/>
            <w:r>
              <w:t>ч</w:t>
            </w:r>
          </w:p>
        </w:tc>
        <w:tc>
          <w:tcPr>
            <w:tcW w:w="8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Расценки, руб.</w:t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Расход материалов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Итого</w:t>
            </w:r>
          </w:p>
        </w:tc>
        <w:tc>
          <w:tcPr>
            <w:tcW w:w="11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Обоснование</w:t>
            </w:r>
          </w:p>
        </w:tc>
      </w:tr>
      <w:tr w:rsidR="000000C0">
        <w:trPr>
          <w:cantSplit/>
          <w:trHeight w:val="23"/>
        </w:trPr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00C0" w:rsidRDefault="000000C0">
            <w:pPr>
              <w:jc w:val="center"/>
            </w:pPr>
          </w:p>
        </w:tc>
        <w:tc>
          <w:tcPr>
            <w:tcW w:w="6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0000C0">
            <w:pPr>
              <w:jc w:val="center"/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0000C0">
            <w:pPr>
              <w:jc w:val="center"/>
            </w:pPr>
          </w:p>
        </w:tc>
        <w:tc>
          <w:tcPr>
            <w:tcW w:w="8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0000C0">
            <w:pPr>
              <w:jc w:val="center"/>
            </w:pPr>
          </w:p>
        </w:tc>
        <w:tc>
          <w:tcPr>
            <w:tcW w:w="11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0000C0">
            <w:pPr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proofErr w:type="spellStart"/>
            <w:r>
              <w:t>трудо</w:t>
            </w:r>
            <w:proofErr w:type="spellEnd"/>
            <w:r>
              <w:t>-</w:t>
            </w:r>
          </w:p>
          <w:p w:rsidR="000000C0" w:rsidRDefault="00651744">
            <w:pPr>
              <w:jc w:val="center"/>
            </w:pPr>
            <w:r>
              <w:t>затраты, чел</w:t>
            </w:r>
            <w:proofErr w:type="gramStart"/>
            <w:r>
              <w:t>.-</w:t>
            </w:r>
            <w:proofErr w:type="gramEnd"/>
            <w:r>
              <w:t>ч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заработная плата, руб.</w:t>
            </w:r>
          </w:p>
        </w:tc>
        <w:tc>
          <w:tcPr>
            <w:tcW w:w="11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1</w:t>
            </w:r>
          </w:p>
        </w:tc>
        <w:tc>
          <w:tcPr>
            <w:tcW w:w="6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2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3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5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7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C0" w:rsidRDefault="00651744">
            <w:pPr>
              <w:jc w:val="center"/>
            </w:pPr>
            <w:r>
              <w:t>8</w:t>
            </w:r>
          </w:p>
        </w:tc>
      </w:tr>
      <w:tr w:rsidR="000000C0">
        <w:trPr>
          <w:trHeight w:val="23"/>
        </w:trPr>
        <w:tc>
          <w:tcPr>
            <w:tcW w:w="82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ОФП-9</w:t>
            </w:r>
          </w:p>
        </w:tc>
      </w:tr>
      <w:tr w:rsidR="000000C0">
        <w:trPr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Приготовление рабочего раствора</w:t>
            </w: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 т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1.08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0,6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0,0007</w:t>
            </w:r>
          </w:p>
        </w:tc>
        <w:tc>
          <w:tcPr>
            <w:tcW w:w="88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0,00075</w:t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0,00042</w:t>
            </w: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proofErr w:type="spellStart"/>
            <w:r>
              <w:t>ЕНиР</w:t>
            </w:r>
            <w:proofErr w:type="spellEnd"/>
            <w:r>
              <w:t xml:space="preserve"> сб. 11, стр.51</w:t>
            </w:r>
          </w:p>
        </w:tc>
      </w:tr>
      <w:tr w:rsidR="000000C0">
        <w:trPr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Очистка поверхности конструкции</w:t>
            </w: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89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1.9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0,88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1,00</w:t>
            </w:r>
          </w:p>
        </w:tc>
        <w:tc>
          <w:tcPr>
            <w:tcW w:w="88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0,019</w:t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0,0088</w:t>
            </w: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proofErr w:type="spellStart"/>
            <w:r>
              <w:t>ЕНиР</w:t>
            </w:r>
            <w:proofErr w:type="spellEnd"/>
            <w:r>
              <w:t xml:space="preserve"> сб.6, стр.50</w:t>
            </w:r>
          </w:p>
        </w:tc>
      </w:tr>
      <w:tr w:rsidR="000000C0">
        <w:trPr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Нанесение </w:t>
            </w:r>
            <w:r>
              <w:lastRenderedPageBreak/>
              <w:t>состава</w:t>
            </w: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lastRenderedPageBreak/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89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4,8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2,23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1,00</w:t>
            </w:r>
          </w:p>
        </w:tc>
        <w:tc>
          <w:tcPr>
            <w:tcW w:w="88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0,048</w:t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0,023</w:t>
            </w: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то же</w:t>
            </w:r>
          </w:p>
        </w:tc>
      </w:tr>
      <w:tr w:rsidR="000000C0">
        <w:trPr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lastRenderedPageBreak/>
              <w:t>Нанесение гидроизоляции</w:t>
            </w: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89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4,9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2,74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1,00</w:t>
            </w:r>
          </w:p>
        </w:tc>
        <w:tc>
          <w:tcPr>
            <w:tcW w:w="88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0,049</w:t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0,0274</w:t>
            </w: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proofErr w:type="spellStart"/>
            <w:r>
              <w:t>ЕНиР</w:t>
            </w:r>
            <w:proofErr w:type="spellEnd"/>
            <w:r>
              <w:t xml:space="preserve"> сб.11, стр. 38</w:t>
            </w:r>
          </w:p>
        </w:tc>
      </w:tr>
      <w:tr w:rsidR="000000C0">
        <w:trPr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both"/>
            </w:pP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  <w:tc>
          <w:tcPr>
            <w:tcW w:w="89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  <w:tc>
          <w:tcPr>
            <w:tcW w:w="898" w:type="dxa"/>
            <w:tcBorders>
              <w:lef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</w:tcBorders>
          </w:tcPr>
          <w:p w:rsidR="000000C0" w:rsidRDefault="00651744">
            <w:pPr>
              <w:jc w:val="center"/>
            </w:pPr>
            <w:r>
              <w:t>Итого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0,116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0,06</w:t>
            </w:r>
          </w:p>
        </w:tc>
        <w:tc>
          <w:tcPr>
            <w:tcW w:w="1179" w:type="dxa"/>
            <w:tcBorders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trHeight w:val="23"/>
        </w:trPr>
        <w:tc>
          <w:tcPr>
            <w:tcW w:w="8295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ВПД</w:t>
            </w:r>
          </w:p>
        </w:tc>
      </w:tr>
      <w:tr w:rsidR="000000C0">
        <w:trPr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Приготовление рабочего состава (смешивание пасты заводского изготовления и аммофоса) в </w:t>
            </w:r>
            <w:proofErr w:type="spellStart"/>
            <w:r>
              <w:t>растворо</w:t>
            </w:r>
            <w:proofErr w:type="spellEnd"/>
            <w:r>
              <w:t>-</w:t>
            </w:r>
          </w:p>
          <w:p w:rsidR="000000C0" w:rsidRDefault="00651744">
            <w:pPr>
              <w:jc w:val="both"/>
            </w:pPr>
            <w:proofErr w:type="gramStart"/>
            <w:r>
              <w:t>смесителе</w:t>
            </w:r>
            <w:proofErr w:type="gramEnd"/>
            <w:r>
              <w:t xml:space="preserve"> СО-26Б</w:t>
            </w: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 т</w:t>
            </w:r>
          </w:p>
        </w:tc>
        <w:tc>
          <w:tcPr>
            <w:tcW w:w="89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1,08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0,6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0,007</w:t>
            </w:r>
          </w:p>
        </w:tc>
        <w:tc>
          <w:tcPr>
            <w:tcW w:w="88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0,00075</w:t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0,00042</w:t>
            </w: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proofErr w:type="spellStart"/>
            <w:r>
              <w:t>ЕНиР</w:t>
            </w:r>
            <w:proofErr w:type="spellEnd"/>
            <w:r>
              <w:t xml:space="preserve"> сб.11, стр. 51</w:t>
            </w:r>
          </w:p>
        </w:tc>
      </w:tr>
      <w:tr w:rsidR="000000C0">
        <w:trPr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Пропускание через краскотерку СО-110</w:t>
            </w: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 т</w:t>
            </w:r>
          </w:p>
        </w:tc>
        <w:tc>
          <w:tcPr>
            <w:tcW w:w="89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8,7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5,4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0,0007</w:t>
            </w:r>
          </w:p>
        </w:tc>
        <w:tc>
          <w:tcPr>
            <w:tcW w:w="88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0,006</w:t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0,0037</w:t>
            </w: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proofErr w:type="spellStart"/>
            <w:r>
              <w:t>ЕНиР</w:t>
            </w:r>
            <w:proofErr w:type="spellEnd"/>
            <w:r>
              <w:t xml:space="preserve"> сб. 8, стр. 76</w:t>
            </w:r>
          </w:p>
        </w:tc>
      </w:tr>
      <w:tr w:rsidR="000000C0">
        <w:trPr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Очистка поверхности конструкции</w:t>
            </w: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89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1,9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0,88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1,00</w:t>
            </w:r>
          </w:p>
        </w:tc>
        <w:tc>
          <w:tcPr>
            <w:tcW w:w="88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0,019</w:t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0,0088</w:t>
            </w: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proofErr w:type="spellStart"/>
            <w:r>
              <w:t>ЕНиР</w:t>
            </w:r>
            <w:proofErr w:type="spellEnd"/>
            <w:r>
              <w:t xml:space="preserve"> сб. 6, стр. 50</w:t>
            </w:r>
          </w:p>
        </w:tc>
      </w:tr>
      <w:tr w:rsidR="000000C0">
        <w:trPr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Нанесение состава покрытия установкой </w:t>
            </w:r>
            <w:r w:rsidR="00EC0B7E">
              <w:t>«</w:t>
            </w:r>
            <w:r>
              <w:t>Щит</w:t>
            </w:r>
            <w:r w:rsidR="00EC0B7E">
              <w:t>»</w:t>
            </w:r>
            <w:r>
              <w:t xml:space="preserve"> (2 прохода)</w:t>
            </w: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89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4,8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2,23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1,00</w:t>
            </w:r>
          </w:p>
        </w:tc>
        <w:tc>
          <w:tcPr>
            <w:tcW w:w="88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0,048</w:t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0,023</w:t>
            </w: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proofErr w:type="spellStart"/>
            <w:r>
              <w:t>ЕНиР</w:t>
            </w:r>
            <w:proofErr w:type="spellEnd"/>
            <w:r>
              <w:t xml:space="preserve"> сб. 6, стр. 50</w:t>
            </w:r>
          </w:p>
        </w:tc>
      </w:tr>
      <w:tr w:rsidR="000000C0">
        <w:trPr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Нанесение водозащитной эмали</w:t>
            </w: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89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4,9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2,74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1,00</w:t>
            </w:r>
          </w:p>
        </w:tc>
        <w:tc>
          <w:tcPr>
            <w:tcW w:w="88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0,049</w:t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0,0274</w:t>
            </w: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proofErr w:type="spellStart"/>
            <w:r>
              <w:t>ЕНиР</w:t>
            </w:r>
            <w:proofErr w:type="spellEnd"/>
            <w:r>
              <w:t xml:space="preserve"> сб.11, стр. 38</w:t>
            </w:r>
          </w:p>
        </w:tc>
      </w:tr>
      <w:tr w:rsidR="000000C0">
        <w:trPr>
          <w:cantSplit/>
          <w:trHeight w:val="23"/>
        </w:trPr>
        <w:tc>
          <w:tcPr>
            <w:tcW w:w="3990" w:type="dxa"/>
            <w:gridSpan w:val="4"/>
            <w:tcBorders>
              <w:lef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</w:tcBorders>
          </w:tcPr>
          <w:p w:rsidR="000000C0" w:rsidRDefault="00651744">
            <w:pPr>
              <w:jc w:val="center"/>
            </w:pPr>
            <w:r>
              <w:t>Итого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0,122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0,082</w:t>
            </w:r>
          </w:p>
        </w:tc>
        <w:tc>
          <w:tcPr>
            <w:tcW w:w="117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cantSplit/>
          <w:trHeight w:val="23"/>
        </w:trPr>
        <w:tc>
          <w:tcPr>
            <w:tcW w:w="8295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ТХЭФ</w:t>
            </w:r>
          </w:p>
        </w:tc>
      </w:tr>
      <w:tr w:rsidR="000000C0">
        <w:trPr>
          <w:cantSplit/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Приготовление рабочего раствора</w:t>
            </w: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 т</w:t>
            </w:r>
          </w:p>
        </w:tc>
        <w:tc>
          <w:tcPr>
            <w:tcW w:w="89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1,08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0,6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0,007</w:t>
            </w:r>
          </w:p>
        </w:tc>
        <w:tc>
          <w:tcPr>
            <w:tcW w:w="88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0,00075</w:t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0,00042</w:t>
            </w: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proofErr w:type="spellStart"/>
            <w:r>
              <w:t>ЕНиР</w:t>
            </w:r>
            <w:proofErr w:type="spellEnd"/>
            <w:r>
              <w:t xml:space="preserve"> сб.11, стр. 51</w:t>
            </w:r>
          </w:p>
        </w:tc>
      </w:tr>
      <w:tr w:rsidR="000000C0">
        <w:trPr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Очистка поверхности конструкций</w:t>
            </w: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89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1,9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0,88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1,00</w:t>
            </w:r>
          </w:p>
        </w:tc>
        <w:tc>
          <w:tcPr>
            <w:tcW w:w="88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0,019</w:t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0,0088</w:t>
            </w: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proofErr w:type="spellStart"/>
            <w:r>
              <w:t>ЕНиР</w:t>
            </w:r>
            <w:proofErr w:type="spellEnd"/>
            <w:r>
              <w:t xml:space="preserve"> сб. 6, стр. 50</w:t>
            </w:r>
          </w:p>
        </w:tc>
      </w:tr>
      <w:tr w:rsidR="000000C0">
        <w:trPr>
          <w:trHeight w:val="23"/>
        </w:trPr>
        <w:tc>
          <w:tcPr>
            <w:tcW w:w="1514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Нанесение состава</w:t>
            </w:r>
          </w:p>
        </w:tc>
        <w:tc>
          <w:tcPr>
            <w:tcW w:w="68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89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4,8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2,23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1,00</w:t>
            </w:r>
          </w:p>
        </w:tc>
        <w:tc>
          <w:tcPr>
            <w:tcW w:w="88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0,048</w:t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0,023</w:t>
            </w:r>
          </w:p>
        </w:tc>
        <w:tc>
          <w:tcPr>
            <w:tcW w:w="117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то же</w:t>
            </w:r>
          </w:p>
        </w:tc>
      </w:tr>
      <w:tr w:rsidR="000000C0">
        <w:trPr>
          <w:trHeight w:val="23"/>
        </w:trPr>
        <w:tc>
          <w:tcPr>
            <w:tcW w:w="3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C0" w:rsidRDefault="000000C0">
            <w:pPr>
              <w:jc w:val="center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C0" w:rsidRDefault="00651744">
            <w:pPr>
              <w:jc w:val="center"/>
            </w:pPr>
            <w:r>
              <w:t>Итого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0,0677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0,0322</w:t>
            </w:r>
          </w:p>
        </w:tc>
        <w:tc>
          <w:tcPr>
            <w:tcW w:w="11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</w:tbl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right"/>
        <w:rPr>
          <w:lang w:val="en-US"/>
        </w:rPr>
      </w:pPr>
      <w:r>
        <w:t>Таблица 3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center"/>
        <w:rPr>
          <w:b/>
          <w:bCs/>
          <w:lang w:val="en-US"/>
        </w:rPr>
      </w:pPr>
      <w:r>
        <w:rPr>
          <w:b/>
          <w:bCs/>
        </w:rPr>
        <w:t>Расчет транспортных расходов</w:t>
      </w:r>
    </w:p>
    <w:p w:rsidR="000000C0" w:rsidRDefault="000000C0">
      <w:pPr>
        <w:ind w:firstLine="284"/>
        <w:jc w:val="both"/>
        <w:rPr>
          <w:lang w:val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842"/>
        <w:gridCol w:w="1741"/>
        <w:gridCol w:w="1496"/>
      </w:tblGrid>
      <w:tr w:rsidR="000000C0">
        <w:trPr>
          <w:trHeight w:val="2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Показатели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Состав ВПД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Состав ОФП-9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Обоснование</w:t>
            </w:r>
          </w:p>
        </w:tc>
      </w:tr>
      <w:tr w:rsidR="000000C0">
        <w:trPr>
          <w:trHeight w:val="2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Расстояние от завода-изготовителя, </w:t>
            </w:r>
            <w:proofErr w:type="gramStart"/>
            <w:r>
              <w:t>км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1000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100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trHeight w:val="23"/>
        </w:trPr>
        <w:tc>
          <w:tcPr>
            <w:tcW w:w="328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Класс груза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</w:t>
            </w:r>
          </w:p>
        </w:tc>
        <w:tc>
          <w:tcPr>
            <w:tcW w:w="174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</w:t>
            </w:r>
          </w:p>
        </w:tc>
        <w:tc>
          <w:tcPr>
            <w:tcW w:w="149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trHeight w:val="23"/>
        </w:trPr>
        <w:tc>
          <w:tcPr>
            <w:tcW w:w="328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Расход состава на 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поверхности деревянных конструкций, т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0,00075</w:t>
            </w:r>
          </w:p>
        </w:tc>
        <w:tc>
          <w:tcPr>
            <w:tcW w:w="174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0,0007</w:t>
            </w:r>
          </w:p>
        </w:tc>
        <w:tc>
          <w:tcPr>
            <w:tcW w:w="149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trHeight w:val="23"/>
        </w:trPr>
        <w:tc>
          <w:tcPr>
            <w:tcW w:w="328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Тара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бачки</w:t>
            </w:r>
          </w:p>
        </w:tc>
        <w:tc>
          <w:tcPr>
            <w:tcW w:w="174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мешки</w:t>
            </w:r>
          </w:p>
        </w:tc>
        <w:tc>
          <w:tcPr>
            <w:tcW w:w="149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  <w:tr w:rsidR="000000C0">
        <w:trPr>
          <w:trHeight w:val="23"/>
        </w:trPr>
        <w:tc>
          <w:tcPr>
            <w:tcW w:w="328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Стоимость погрузочно-разгрузочных работ, руб.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 х 0,75 х 0,00075 = 0,0011</w:t>
            </w:r>
          </w:p>
        </w:tc>
        <w:tc>
          <w:tcPr>
            <w:tcW w:w="174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 х 0,61 х 0,00070 = 00085</w:t>
            </w:r>
          </w:p>
        </w:tc>
        <w:tc>
          <w:tcPr>
            <w:tcW w:w="149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Ценник 3, часть 1, стр. 4</w:t>
            </w:r>
          </w:p>
        </w:tc>
      </w:tr>
      <w:tr w:rsidR="000000C0">
        <w:trPr>
          <w:trHeight w:val="23"/>
        </w:trPr>
        <w:tc>
          <w:tcPr>
            <w:tcW w:w="328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Стоимость перевозки железнодорожным транспортом первые 100 км, руб.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4,18 х 0,00075 = 0,0031</w:t>
            </w:r>
          </w:p>
        </w:tc>
        <w:tc>
          <w:tcPr>
            <w:tcW w:w="174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4,0 х 0,0007 = 0,0028</w:t>
            </w:r>
          </w:p>
        </w:tc>
        <w:tc>
          <w:tcPr>
            <w:tcW w:w="149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Ценник 3, часть 1, стр. 28</w:t>
            </w:r>
          </w:p>
        </w:tc>
      </w:tr>
      <w:tr w:rsidR="000000C0">
        <w:trPr>
          <w:trHeight w:val="23"/>
        </w:trPr>
        <w:tc>
          <w:tcPr>
            <w:tcW w:w="328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Стоимость надбавки за остальное </w:t>
            </w:r>
            <w:r>
              <w:lastRenderedPageBreak/>
              <w:t>расстояние, руб.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lastRenderedPageBreak/>
              <w:t xml:space="preserve">900 х 0,043 х </w:t>
            </w:r>
            <w:r>
              <w:lastRenderedPageBreak/>
              <w:t>0,00075 = 0,029</w:t>
            </w:r>
          </w:p>
        </w:tc>
        <w:tc>
          <w:tcPr>
            <w:tcW w:w="174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lastRenderedPageBreak/>
              <w:t>-</w:t>
            </w:r>
          </w:p>
        </w:tc>
        <w:tc>
          <w:tcPr>
            <w:tcW w:w="149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то же</w:t>
            </w:r>
          </w:p>
        </w:tc>
      </w:tr>
      <w:tr w:rsidR="000000C0">
        <w:trPr>
          <w:cantSplit/>
          <w:trHeight w:val="23"/>
        </w:trPr>
        <w:tc>
          <w:tcPr>
            <w:tcW w:w="328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lastRenderedPageBreak/>
              <w:t>Стоимость реквизита, руб.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0,00075 х 24,2 х 1,28 = 0,023</w:t>
            </w:r>
          </w:p>
        </w:tc>
        <w:tc>
          <w:tcPr>
            <w:tcW w:w="174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0,0007 х 2,45 х 1,02 = 0,0054</w:t>
            </w:r>
          </w:p>
        </w:tc>
        <w:tc>
          <w:tcPr>
            <w:tcW w:w="149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Ценник 3, часть 1, сб.9, п.18</w:t>
            </w:r>
          </w:p>
        </w:tc>
      </w:tr>
      <w:tr w:rsidR="000000C0">
        <w:trPr>
          <w:cantSplit/>
          <w:trHeight w:val="23"/>
        </w:trPr>
        <w:tc>
          <w:tcPr>
            <w:tcW w:w="32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Стоимость транспортирования, руб.</w:t>
            </w:r>
          </w:p>
        </w:tc>
        <w:tc>
          <w:tcPr>
            <w:tcW w:w="1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0,056</w:t>
            </w:r>
          </w:p>
        </w:tc>
        <w:tc>
          <w:tcPr>
            <w:tcW w:w="174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0,0054</w:t>
            </w:r>
          </w:p>
        </w:tc>
        <w:tc>
          <w:tcPr>
            <w:tcW w:w="14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0000C0">
            <w:pPr>
              <w:jc w:val="center"/>
            </w:pPr>
          </w:p>
        </w:tc>
      </w:tr>
    </w:tbl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right"/>
        <w:rPr>
          <w:lang w:val="en-US"/>
        </w:rPr>
      </w:pPr>
      <w:r>
        <w:t>Таблица 4</w:t>
      </w:r>
    </w:p>
    <w:p w:rsidR="000000C0" w:rsidRDefault="000000C0">
      <w:pPr>
        <w:ind w:firstLine="284"/>
        <w:jc w:val="both"/>
        <w:rPr>
          <w:lang w:val="en-US"/>
        </w:rPr>
      </w:pPr>
    </w:p>
    <w:p w:rsidR="000000C0" w:rsidRDefault="00651744">
      <w:pPr>
        <w:ind w:firstLine="284"/>
        <w:jc w:val="center"/>
        <w:rPr>
          <w:b/>
          <w:bCs/>
          <w:lang w:val="en-US"/>
        </w:rPr>
      </w:pPr>
      <w:r>
        <w:rPr>
          <w:b/>
          <w:bCs/>
        </w:rPr>
        <w:t xml:space="preserve">Расчет стоимости в </w:t>
      </w:r>
      <w:r w:rsidR="00EC0B7E">
        <w:rPr>
          <w:b/>
          <w:bCs/>
        </w:rPr>
        <w:t>«</w:t>
      </w:r>
      <w:r>
        <w:rPr>
          <w:b/>
          <w:bCs/>
        </w:rPr>
        <w:t>деле</w:t>
      </w:r>
      <w:r w:rsidR="00EC0B7E">
        <w:rPr>
          <w:b/>
          <w:bCs/>
        </w:rPr>
        <w:t>»</w:t>
      </w:r>
      <w:r>
        <w:rPr>
          <w:b/>
          <w:bCs/>
        </w:rPr>
        <w:t xml:space="preserve"> огнезащитных составов</w:t>
      </w:r>
    </w:p>
    <w:p w:rsidR="000000C0" w:rsidRDefault="000000C0">
      <w:pPr>
        <w:ind w:firstLine="284"/>
        <w:jc w:val="both"/>
        <w:rPr>
          <w:lang w:val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25"/>
        <w:gridCol w:w="611"/>
        <w:gridCol w:w="769"/>
        <w:gridCol w:w="947"/>
        <w:gridCol w:w="716"/>
      </w:tblGrid>
      <w:tr w:rsidR="000000C0">
        <w:trPr>
          <w:trHeight w:val="23"/>
        </w:trPr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Затраты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ВПД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ОФП-9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МС 1:1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ТХЭФ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3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5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Стоимость основных исходных материалов </w:t>
            </w:r>
            <w:proofErr w:type="gramStart"/>
            <w:r>
              <w:rPr>
                <w:i/>
                <w:iCs/>
              </w:rPr>
              <w:t>С</w:t>
            </w:r>
            <w:r>
              <w:rPr>
                <w:i/>
                <w:iCs/>
                <w:vertAlign w:val="subscript"/>
              </w:rPr>
              <w:t>м</w:t>
            </w:r>
            <w:proofErr w:type="gramEnd"/>
            <w:r>
              <w:t>, руб.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18,9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0,62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Заводская трудоемкость изготовления составов или пропитывания древесины, чел-ч</w:t>
            </w:r>
          </w:p>
        </w:tc>
        <w:tc>
          <w:tcPr>
            <w:tcW w:w="61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76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94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1,88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Основная и дополнительная зарплата </w:t>
            </w:r>
            <w:proofErr w:type="spellStart"/>
            <w:r>
              <w:rPr>
                <w:i/>
                <w:iCs/>
              </w:rPr>
              <w:t>Ц</w:t>
            </w:r>
            <w:r>
              <w:rPr>
                <w:i/>
                <w:iCs/>
                <w:vertAlign w:val="subscript"/>
              </w:rPr>
              <w:t>з</w:t>
            </w:r>
            <w:r>
              <w:rPr>
                <w:i/>
                <w:iCs/>
              </w:rPr>
              <w:t>Т</w:t>
            </w:r>
            <w:proofErr w:type="spellEnd"/>
            <w:r>
              <w:t>, руб.</w:t>
            </w:r>
          </w:p>
        </w:tc>
        <w:tc>
          <w:tcPr>
            <w:tcW w:w="61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76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94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0,92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Основная и дополнительная зарплата с учетом цеховых и общезаводских расходов </w:t>
            </w:r>
            <w:proofErr w:type="spellStart"/>
            <w:r>
              <w:rPr>
                <w:i/>
                <w:iCs/>
              </w:rPr>
              <w:t>Ц</w:t>
            </w:r>
            <w:r>
              <w:rPr>
                <w:i/>
                <w:iCs/>
                <w:vertAlign w:val="subscript"/>
              </w:rPr>
              <w:t>з</w:t>
            </w:r>
            <w:r>
              <w:rPr>
                <w:i/>
                <w:iCs/>
              </w:rPr>
              <w:t>ТК</w:t>
            </w:r>
            <w:proofErr w:type="spellEnd"/>
            <w:r>
              <w:rPr>
                <w:i/>
                <w:iCs/>
                <w:lang w:val="en-US"/>
              </w:rPr>
              <w:sym w:font="Symbol" w:char="F0A2"/>
            </w:r>
            <w:proofErr w:type="spellStart"/>
            <w:proofErr w:type="gramStart"/>
            <w:r>
              <w:rPr>
                <w:i/>
                <w:iCs/>
                <w:vertAlign w:val="subscript"/>
              </w:rPr>
              <w:t>накл</w:t>
            </w:r>
            <w:proofErr w:type="spellEnd"/>
            <w:proofErr w:type="gramEnd"/>
            <w:r>
              <w:t>, руб.</w:t>
            </w:r>
          </w:p>
        </w:tc>
        <w:tc>
          <w:tcPr>
            <w:tcW w:w="61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76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94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2.39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Заводская себестоимость 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  <w:vertAlign w:val="subscript"/>
              </w:rPr>
              <w:t>м</w:t>
            </w:r>
            <w:r>
              <w:t xml:space="preserve"> + </w:t>
            </w:r>
            <w:proofErr w:type="spellStart"/>
            <w:r>
              <w:rPr>
                <w:i/>
                <w:iCs/>
              </w:rPr>
              <w:t>Ц</w:t>
            </w:r>
            <w:r>
              <w:rPr>
                <w:i/>
                <w:iCs/>
                <w:vertAlign w:val="subscript"/>
              </w:rPr>
              <w:t>з</w:t>
            </w:r>
            <w:r>
              <w:rPr>
                <w:i/>
                <w:iCs/>
              </w:rPr>
              <w:t>ТК'</w:t>
            </w:r>
            <w:proofErr w:type="gramStart"/>
            <w:r>
              <w:rPr>
                <w:i/>
                <w:iCs/>
                <w:vertAlign w:val="subscript"/>
              </w:rPr>
              <w:t>накл</w:t>
            </w:r>
            <w:proofErr w:type="spellEnd"/>
            <w:proofErr w:type="gramEnd"/>
            <w:r>
              <w:t>, руб.</w:t>
            </w:r>
          </w:p>
        </w:tc>
        <w:tc>
          <w:tcPr>
            <w:tcW w:w="61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76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94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21,26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Заводская себестоимость с учетом внепроизводственных расходов (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  <w:vertAlign w:val="subscript"/>
              </w:rPr>
              <w:t>м</w:t>
            </w:r>
            <w:r>
              <w:t xml:space="preserve"> + </w:t>
            </w:r>
            <w:proofErr w:type="spellStart"/>
            <w:r>
              <w:rPr>
                <w:i/>
                <w:iCs/>
              </w:rPr>
              <w:t>Ц</w:t>
            </w:r>
            <w:r>
              <w:rPr>
                <w:i/>
                <w:iCs/>
                <w:vertAlign w:val="subscript"/>
              </w:rPr>
              <w:t>з</w:t>
            </w:r>
            <w:r>
              <w:rPr>
                <w:i/>
                <w:iCs/>
              </w:rPr>
              <w:t>ТК</w:t>
            </w:r>
            <w:proofErr w:type="spellEnd"/>
            <w:r>
              <w:rPr>
                <w:i/>
                <w:iCs/>
                <w:lang w:val="en-US"/>
              </w:rPr>
              <w:sym w:font="Symbol" w:char="F0A2"/>
            </w:r>
            <w:proofErr w:type="spellStart"/>
            <w:proofErr w:type="gramStart"/>
            <w:r>
              <w:rPr>
                <w:i/>
                <w:iCs/>
                <w:vertAlign w:val="subscript"/>
              </w:rPr>
              <w:t>накл</w:t>
            </w:r>
            <w:proofErr w:type="spellEnd"/>
            <w:proofErr w:type="gramEnd"/>
            <w:r>
              <w:t xml:space="preserve">) х </w:t>
            </w:r>
            <w:proofErr w:type="spellStart"/>
            <w:r>
              <w:rPr>
                <w:i/>
                <w:iCs/>
              </w:rPr>
              <w:t>К</w:t>
            </w:r>
            <w:r>
              <w:rPr>
                <w:i/>
                <w:iCs/>
                <w:vertAlign w:val="subscript"/>
              </w:rPr>
              <w:t>внез</w:t>
            </w:r>
            <w:proofErr w:type="spellEnd"/>
            <w:r>
              <w:t>, руб.</w:t>
            </w:r>
          </w:p>
        </w:tc>
        <w:tc>
          <w:tcPr>
            <w:tcW w:w="61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76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94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23,9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Заводская стоимость </w:t>
            </w:r>
            <w:proofErr w:type="spellStart"/>
            <w:r>
              <w:rPr>
                <w:i/>
                <w:iCs/>
              </w:rPr>
              <w:t>С</w:t>
            </w:r>
            <w:r>
              <w:rPr>
                <w:i/>
                <w:iCs/>
                <w:vertAlign w:val="subscript"/>
              </w:rPr>
              <w:t>к.з</w:t>
            </w:r>
            <w:proofErr w:type="spellEnd"/>
            <w:r>
              <w:rPr>
                <w:i/>
                <w:iCs/>
                <w:vertAlign w:val="subscript"/>
              </w:rPr>
              <w:t>.</w:t>
            </w:r>
            <w:r>
              <w:t>, руб.</w:t>
            </w:r>
          </w:p>
        </w:tc>
        <w:tc>
          <w:tcPr>
            <w:tcW w:w="61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0,86</w:t>
            </w:r>
          </w:p>
        </w:tc>
        <w:tc>
          <w:tcPr>
            <w:tcW w:w="76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0,31</w:t>
            </w:r>
          </w:p>
        </w:tc>
        <w:tc>
          <w:tcPr>
            <w:tcW w:w="94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6,20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0,62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Стоимость транспортирования, руб.</w:t>
            </w:r>
          </w:p>
        </w:tc>
        <w:tc>
          <w:tcPr>
            <w:tcW w:w="61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0,056</w:t>
            </w:r>
          </w:p>
        </w:tc>
        <w:tc>
          <w:tcPr>
            <w:tcW w:w="76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0,0054</w:t>
            </w:r>
          </w:p>
        </w:tc>
        <w:tc>
          <w:tcPr>
            <w:tcW w:w="94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Заготовительно-складские расходы, руб.</w:t>
            </w:r>
          </w:p>
        </w:tc>
        <w:tc>
          <w:tcPr>
            <w:tcW w:w="61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0,018</w:t>
            </w:r>
          </w:p>
        </w:tc>
        <w:tc>
          <w:tcPr>
            <w:tcW w:w="76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0,006</w:t>
            </w:r>
          </w:p>
        </w:tc>
        <w:tc>
          <w:tcPr>
            <w:tcW w:w="94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0,012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Трудоемкость нанесения составов, чел-ч</w:t>
            </w:r>
          </w:p>
        </w:tc>
        <w:tc>
          <w:tcPr>
            <w:tcW w:w="61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0,122</w:t>
            </w:r>
          </w:p>
        </w:tc>
        <w:tc>
          <w:tcPr>
            <w:tcW w:w="76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0,116</w:t>
            </w:r>
          </w:p>
        </w:tc>
        <w:tc>
          <w:tcPr>
            <w:tcW w:w="94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0,0677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Стоимость нанесения составов </w:t>
            </w:r>
            <w:proofErr w:type="spellStart"/>
            <w:r>
              <w:rPr>
                <w:i/>
                <w:iCs/>
              </w:rPr>
              <w:t>С</w:t>
            </w:r>
            <w:r>
              <w:rPr>
                <w:i/>
                <w:iCs/>
                <w:vertAlign w:val="subscript"/>
              </w:rPr>
              <w:t>монт</w:t>
            </w:r>
            <w:proofErr w:type="spellEnd"/>
            <w:r>
              <w:t xml:space="preserve"> руб.</w:t>
            </w:r>
          </w:p>
        </w:tc>
        <w:tc>
          <w:tcPr>
            <w:tcW w:w="61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0,062</w:t>
            </w:r>
          </w:p>
        </w:tc>
        <w:tc>
          <w:tcPr>
            <w:tcW w:w="76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0,06</w:t>
            </w:r>
          </w:p>
        </w:tc>
        <w:tc>
          <w:tcPr>
            <w:tcW w:w="94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0,032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Накладные расходы, руб.</w:t>
            </w:r>
          </w:p>
        </w:tc>
        <w:tc>
          <w:tcPr>
            <w:tcW w:w="61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0,161</w:t>
            </w:r>
          </w:p>
        </w:tc>
        <w:tc>
          <w:tcPr>
            <w:tcW w:w="76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0,063</w:t>
            </w:r>
          </w:p>
        </w:tc>
        <w:tc>
          <w:tcPr>
            <w:tcW w:w="94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0,108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>Плановые накопления, руб.</w:t>
            </w:r>
          </w:p>
        </w:tc>
        <w:tc>
          <w:tcPr>
            <w:tcW w:w="611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0,092</w:t>
            </w:r>
          </w:p>
        </w:tc>
        <w:tc>
          <w:tcPr>
            <w:tcW w:w="769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0,036</w:t>
            </w:r>
          </w:p>
        </w:tc>
        <w:tc>
          <w:tcPr>
            <w:tcW w:w="947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-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0,062</w:t>
            </w:r>
          </w:p>
        </w:tc>
      </w:tr>
      <w:tr w:rsidR="000000C0">
        <w:trPr>
          <w:trHeight w:val="23"/>
        </w:trPr>
        <w:tc>
          <w:tcPr>
            <w:tcW w:w="53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both"/>
            </w:pPr>
            <w:r>
              <w:t xml:space="preserve">Стоимость </w:t>
            </w:r>
            <w:r w:rsidR="00EC0B7E">
              <w:t>«</w:t>
            </w:r>
            <w:r>
              <w:t>в деле</w:t>
            </w:r>
            <w:r w:rsidR="00EC0B7E">
              <w:t>»</w:t>
            </w:r>
            <w:r>
              <w:t xml:space="preserve">, </w:t>
            </w:r>
            <w:proofErr w:type="spellStart"/>
            <w:r>
              <w:t>руб</w:t>
            </w:r>
            <w:proofErr w:type="spellEnd"/>
            <w:r>
              <w:t>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(</w:t>
            </w:r>
            <w:proofErr w:type="spellStart"/>
            <w:r>
              <w:t>руб</w:t>
            </w:r>
            <w:proofErr w:type="spellEnd"/>
            <w:r>
              <w:t>/м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6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1,249</w:t>
            </w:r>
          </w:p>
        </w:tc>
        <w:tc>
          <w:tcPr>
            <w:tcW w:w="7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0,485</w:t>
            </w:r>
          </w:p>
        </w:tc>
        <w:tc>
          <w:tcPr>
            <w:tcW w:w="9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23,9 (1,2)</w:t>
            </w:r>
          </w:p>
        </w:tc>
        <w:tc>
          <w:tcPr>
            <w:tcW w:w="7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C0" w:rsidRDefault="00651744">
            <w:pPr>
              <w:jc w:val="center"/>
            </w:pPr>
            <w:r>
              <w:t>0,834</w:t>
            </w:r>
          </w:p>
        </w:tc>
      </w:tr>
    </w:tbl>
    <w:p w:rsidR="00651744" w:rsidRDefault="00651744">
      <w:pPr>
        <w:ind w:firstLine="284"/>
        <w:jc w:val="both"/>
      </w:pPr>
    </w:p>
    <w:sectPr w:rsidR="00651744">
      <w:pgSz w:w="11906" w:h="16838" w:code="9"/>
      <w:pgMar w:top="1440" w:right="1797" w:bottom="1440" w:left="1797" w:header="720" w:footer="72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DBE"/>
    <w:rsid w:val="000000C0"/>
    <w:rsid w:val="00651744"/>
    <w:rsid w:val="00713C59"/>
    <w:rsid w:val="00EC0B7E"/>
    <w:rsid w:val="00FA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cs="Arial"/>
      <w:szCs w:val="18"/>
    </w:rPr>
  </w:style>
  <w:style w:type="paragraph" w:styleId="1">
    <w:name w:val="heading 1"/>
    <w:basedOn w:val="a"/>
    <w:next w:val="a"/>
    <w:qFormat/>
    <w:pPr>
      <w:keepNext/>
      <w:spacing w:before="120" w:after="120"/>
      <w:jc w:val="center"/>
      <w:outlineLvl w:val="0"/>
    </w:pPr>
    <w:rPr>
      <w:b/>
      <w:kern w:val="2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C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cs="Arial"/>
      <w:szCs w:val="18"/>
    </w:rPr>
  </w:style>
  <w:style w:type="paragraph" w:styleId="1">
    <w:name w:val="heading 1"/>
    <w:basedOn w:val="a"/>
    <w:next w:val="a"/>
    <w:qFormat/>
    <w:pPr>
      <w:keepNext/>
      <w:spacing w:before="120" w:after="120"/>
      <w:jc w:val="center"/>
      <w:outlineLvl w:val="0"/>
    </w:pPr>
    <w:rPr>
      <w:b/>
      <w:kern w:val="2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C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fireman.club/statyi-polzovateley/ognezashhita-kak-pravilno-podobrat-i-provesti-obrabotk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3166</Words>
  <Characters>18051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применению огнезащитных покрытий</vt:lpstr>
    </vt:vector>
  </TitlesOfParts>
  <LinksUpToDate>false</LinksUpToDate>
  <CharactersWithSpaces>21175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2019-05-12T05:06:00Z</dcterms:created>
  <dcterms:modified xsi:type="dcterms:W3CDTF">2019-06-14T15:51:00Z</dcterms:modified>
</cp:coreProperties>
</file>