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98" w:rsidRDefault="00FE5F68" w:rsidP="0051017B">
      <w:pPr>
        <w:shd w:val="clear" w:color="auto" w:fill="FFFFFF"/>
        <w:jc w:val="center"/>
        <w:rPr>
          <w:szCs w:val="24"/>
        </w:rPr>
      </w:pPr>
      <w:r>
        <w:rPr>
          <w:szCs w:val="16"/>
        </w:rPr>
        <w:t>МИНИСТЕРСТВО ВНУТРЕННИХ ДЕЛ СССР</w:t>
      </w:r>
    </w:p>
    <w:p w:rsidR="00FB1A98" w:rsidRDefault="00FB1A98" w:rsidP="0051017B">
      <w:pPr>
        <w:shd w:val="clear" w:color="auto" w:fill="FFFFFF"/>
        <w:jc w:val="center"/>
        <w:rPr>
          <w:szCs w:val="14"/>
        </w:rPr>
      </w:pPr>
    </w:p>
    <w:p w:rsidR="00FB1A98" w:rsidRDefault="00FE5F68" w:rsidP="0051017B">
      <w:pPr>
        <w:shd w:val="clear" w:color="auto" w:fill="FFFFFF"/>
        <w:jc w:val="center"/>
        <w:rPr>
          <w:szCs w:val="14"/>
        </w:rPr>
      </w:pPr>
      <w:r>
        <w:rPr>
          <w:szCs w:val="14"/>
        </w:rPr>
        <w:t>Всесоюзный научно-исследовательский институт противопожарной обороны</w:t>
      </w:r>
    </w:p>
    <w:p w:rsidR="00FB1A98" w:rsidRDefault="00FB1A98" w:rsidP="0051017B">
      <w:pPr>
        <w:shd w:val="clear" w:color="auto" w:fill="FFFFFF"/>
        <w:jc w:val="both"/>
        <w:rPr>
          <w:szCs w:val="24"/>
        </w:rPr>
      </w:pPr>
    </w:p>
    <w:p w:rsidR="00FB1A98" w:rsidRDefault="00FE5F68">
      <w:pPr>
        <w:shd w:val="clear" w:color="auto" w:fill="FFFFFF"/>
        <w:ind w:left="4900"/>
        <w:jc w:val="both"/>
        <w:rPr>
          <w:szCs w:val="24"/>
        </w:rPr>
      </w:pPr>
      <w:r>
        <w:t>УТВЕРЖДАЮ</w:t>
      </w:r>
    </w:p>
    <w:p w:rsidR="00FB1A98" w:rsidRDefault="00FE5F68">
      <w:pPr>
        <w:shd w:val="clear" w:color="auto" w:fill="FFFFFF"/>
        <w:ind w:left="4900"/>
        <w:jc w:val="both"/>
      </w:pPr>
      <w:r>
        <w:t>Зам. начальника ВНИИПО МВД СССР</w:t>
      </w:r>
    </w:p>
    <w:p w:rsidR="00FB1A98" w:rsidRDefault="00FE5F68">
      <w:pPr>
        <w:shd w:val="clear" w:color="auto" w:fill="FFFFFF"/>
        <w:ind w:left="4900"/>
        <w:jc w:val="right"/>
      </w:pPr>
      <w:r>
        <w:t>Г.М. Дмитриев</w:t>
      </w:r>
    </w:p>
    <w:p w:rsidR="00FB1A98" w:rsidRDefault="00FE5F68">
      <w:pPr>
        <w:shd w:val="clear" w:color="auto" w:fill="FFFFFF"/>
        <w:ind w:left="4900"/>
        <w:jc w:val="both"/>
        <w:rPr>
          <w:szCs w:val="24"/>
        </w:rPr>
      </w:pPr>
      <w:r>
        <w:t>30 декабря 1986 г.</w:t>
      </w:r>
    </w:p>
    <w:p w:rsidR="00FB1A98" w:rsidRDefault="00FB1A98" w:rsidP="0051017B">
      <w:pPr>
        <w:shd w:val="clear" w:color="auto" w:fill="FFFFFF"/>
        <w:jc w:val="center"/>
        <w:rPr>
          <w:szCs w:val="26"/>
          <w:lang w:val="en-US"/>
        </w:rPr>
      </w:pPr>
    </w:p>
    <w:p w:rsidR="00FB1A98" w:rsidRDefault="00FB1A98" w:rsidP="0051017B">
      <w:pPr>
        <w:shd w:val="clear" w:color="auto" w:fill="FFFFFF"/>
        <w:jc w:val="center"/>
        <w:rPr>
          <w:szCs w:val="26"/>
          <w:lang w:val="en-US"/>
        </w:rPr>
      </w:pPr>
    </w:p>
    <w:p w:rsidR="00FB1A98" w:rsidRPr="00F72163" w:rsidRDefault="00FE5F68" w:rsidP="0051017B">
      <w:pPr>
        <w:shd w:val="clear" w:color="auto" w:fill="FFFFFF"/>
        <w:jc w:val="center"/>
        <w:rPr>
          <w:b/>
          <w:bCs/>
          <w:sz w:val="24"/>
          <w:szCs w:val="24"/>
        </w:rPr>
      </w:pPr>
      <w:r w:rsidRPr="00F72163">
        <w:rPr>
          <w:b/>
          <w:bCs/>
          <w:sz w:val="24"/>
          <w:szCs w:val="26"/>
        </w:rPr>
        <w:t>ПРОЕКТИРОВАНИЕ</w:t>
      </w:r>
      <w:r w:rsidR="0051017B" w:rsidRPr="00F72163">
        <w:rPr>
          <w:b/>
          <w:bCs/>
          <w:sz w:val="24"/>
          <w:szCs w:val="26"/>
        </w:rPr>
        <w:br/>
      </w:r>
      <w:hyperlink r:id="rId5" w:history="1">
        <w:r w:rsidRPr="008371BE">
          <w:rPr>
            <w:rStyle w:val="a5"/>
            <w:b/>
            <w:bCs/>
            <w:color w:val="auto"/>
            <w:sz w:val="24"/>
            <w:szCs w:val="26"/>
            <w:u w:val="none"/>
          </w:rPr>
          <w:t>АВТОМАТИЧЕСКИХ УСТАНОВОК ПОЖАРОТУШЕНИЯ</w:t>
        </w:r>
      </w:hyperlink>
      <w:r w:rsidRPr="008371BE">
        <w:rPr>
          <w:b/>
          <w:bCs/>
          <w:sz w:val="24"/>
          <w:szCs w:val="26"/>
        </w:rPr>
        <w:t xml:space="preserve"> В </w:t>
      </w:r>
      <w:r w:rsidRPr="00F72163">
        <w:rPr>
          <w:b/>
          <w:bCs/>
          <w:sz w:val="24"/>
          <w:szCs w:val="26"/>
        </w:rPr>
        <w:t>ВЫСОТНЫХ</w:t>
      </w:r>
      <w:r w:rsidR="0051017B" w:rsidRPr="00F72163">
        <w:rPr>
          <w:b/>
          <w:bCs/>
          <w:sz w:val="24"/>
          <w:szCs w:val="26"/>
        </w:rPr>
        <w:t xml:space="preserve"> </w:t>
      </w:r>
      <w:r w:rsidRPr="00F72163">
        <w:rPr>
          <w:b/>
          <w:bCs/>
          <w:sz w:val="24"/>
          <w:szCs w:val="26"/>
        </w:rPr>
        <w:t>СТЕЛЛАЖНЫХ СКЛАДАХ</w:t>
      </w:r>
    </w:p>
    <w:p w:rsidR="00FB1A98" w:rsidRDefault="00FE5F68" w:rsidP="0051017B">
      <w:pPr>
        <w:shd w:val="clear" w:color="auto" w:fill="FFFFFF"/>
        <w:jc w:val="center"/>
        <w:rPr>
          <w:b/>
          <w:bCs/>
          <w:szCs w:val="24"/>
        </w:rPr>
      </w:pPr>
      <w:r w:rsidRPr="00F72163">
        <w:rPr>
          <w:b/>
          <w:bCs/>
          <w:sz w:val="24"/>
          <w:szCs w:val="24"/>
        </w:rPr>
        <w:t>(Рекомендации)</w:t>
      </w:r>
    </w:p>
    <w:p w:rsidR="00FB1A98" w:rsidRDefault="00FB1A98" w:rsidP="0051017B">
      <w:pPr>
        <w:shd w:val="clear" w:color="auto" w:fill="FFFFFF"/>
        <w:jc w:val="center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УДК 614.844.2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Изложены основные требования, предъявляемые к водяным установкам, предназначенным для защиты высотных складов со стационарными и передвижными стеллажами, а также требования к планировке зданий складов и стеллажей.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Рекомендации предназначен</w:t>
      </w:r>
      <w:bookmarkStart w:id="0" w:name="_GoBack"/>
      <w:bookmarkEnd w:id="0"/>
      <w:r>
        <w:t>ы для инженерно-технических работников, занимающихся проектированием и эксплуатацией автоматических установок пожаротушения.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Ил. 11, табл. 5, список лит. - 11 назв.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Рекомендации разработаны Л.К. </w:t>
      </w:r>
      <w:proofErr w:type="spellStart"/>
      <w:r>
        <w:t>Тубашовым</w:t>
      </w:r>
      <w:proofErr w:type="spellEnd"/>
      <w:r>
        <w:t xml:space="preserve">, В.А. </w:t>
      </w:r>
      <w:proofErr w:type="spellStart"/>
      <w:r>
        <w:t>Былинкиным</w:t>
      </w:r>
      <w:proofErr w:type="spellEnd"/>
      <w:r>
        <w:t xml:space="preserve">, И.А. Ежовым, при участии Е.Е. </w:t>
      </w:r>
      <w:proofErr w:type="spellStart"/>
      <w:r>
        <w:t>Кирюханцева</w:t>
      </w:r>
      <w:proofErr w:type="spellEnd"/>
      <w:r>
        <w:t>, В.А. Дубинина и согласованы с ГУПО МВД СССР 26 декабря 1986 г., Госагропромом СССР 12 декабря 1986 г. и СПКБ "</w:t>
      </w:r>
      <w:proofErr w:type="spellStart"/>
      <w:r>
        <w:t>Спецавтоматика</w:t>
      </w:r>
      <w:proofErr w:type="spellEnd"/>
      <w:r>
        <w:t>" 25 декабря 1986 г.</w:t>
      </w:r>
    </w:p>
    <w:p w:rsidR="0051017B" w:rsidRDefault="0051017B" w:rsidP="0051017B">
      <w:pPr>
        <w:shd w:val="clear" w:color="auto" w:fill="FFFFFF"/>
        <w:ind w:firstLine="283"/>
        <w:jc w:val="center"/>
        <w:rPr>
          <w:b/>
          <w:bCs/>
        </w:rPr>
      </w:pPr>
    </w:p>
    <w:p w:rsidR="0051017B" w:rsidRDefault="0051017B" w:rsidP="0051017B">
      <w:pPr>
        <w:shd w:val="clear" w:color="auto" w:fill="FFFFFF"/>
        <w:ind w:firstLine="283"/>
        <w:jc w:val="center"/>
        <w:rPr>
          <w:szCs w:val="24"/>
        </w:rPr>
      </w:pPr>
      <w:r>
        <w:rPr>
          <w:b/>
          <w:bCs/>
        </w:rPr>
        <w:t>СОДЕРЖАНИЕ</w:t>
      </w:r>
    </w:p>
    <w:p w:rsidR="0051017B" w:rsidRDefault="0051017B" w:rsidP="0051017B">
      <w:pPr>
        <w:shd w:val="clear" w:color="auto" w:fill="FFFFFF"/>
        <w:ind w:firstLine="283"/>
        <w:jc w:val="both"/>
      </w:pPr>
    </w:p>
    <w:p w:rsidR="0051017B" w:rsidRDefault="0051017B" w:rsidP="0051017B">
      <w:pPr>
        <w:shd w:val="clear" w:color="auto" w:fill="FFFFFF"/>
        <w:ind w:firstLine="283"/>
        <w:jc w:val="both"/>
        <w:rPr>
          <w:szCs w:val="24"/>
        </w:rPr>
      </w:pPr>
      <w:r>
        <w:t>Предисловие</w:t>
      </w:r>
      <w:r>
        <w:t>.</w:t>
      </w:r>
    </w:p>
    <w:p w:rsidR="0051017B" w:rsidRDefault="0051017B" w:rsidP="0051017B">
      <w:pPr>
        <w:shd w:val="clear" w:color="auto" w:fill="FFFFFF"/>
        <w:ind w:firstLine="283"/>
        <w:jc w:val="both"/>
        <w:rPr>
          <w:szCs w:val="24"/>
        </w:rPr>
      </w:pPr>
      <w:r>
        <w:t>1. Общие положения</w:t>
      </w:r>
      <w:r>
        <w:t>.</w:t>
      </w:r>
    </w:p>
    <w:p w:rsidR="0051017B" w:rsidRDefault="0051017B" w:rsidP="0051017B">
      <w:pPr>
        <w:shd w:val="clear" w:color="auto" w:fill="FFFFFF"/>
        <w:ind w:firstLine="283"/>
        <w:jc w:val="both"/>
        <w:rPr>
          <w:szCs w:val="24"/>
        </w:rPr>
      </w:pPr>
      <w:r>
        <w:t>2. Требования к автоматическим установкам пожаротушения зоны высотного хранения со стационарными стеллажами</w:t>
      </w:r>
      <w:r>
        <w:t>.</w:t>
      </w:r>
    </w:p>
    <w:p w:rsidR="0051017B" w:rsidRDefault="0051017B" w:rsidP="0051017B">
      <w:pPr>
        <w:shd w:val="clear" w:color="auto" w:fill="FFFFFF"/>
        <w:ind w:firstLine="283"/>
        <w:jc w:val="both"/>
        <w:rPr>
          <w:szCs w:val="24"/>
        </w:rPr>
      </w:pPr>
      <w:r>
        <w:t>3. Требования к автоматическим установкам пожаротушения зоны высотного хранения с передвижными стеллажами</w:t>
      </w:r>
      <w:r>
        <w:t>.</w:t>
      </w:r>
    </w:p>
    <w:p w:rsidR="0051017B" w:rsidRDefault="0051017B" w:rsidP="0051017B">
      <w:pPr>
        <w:shd w:val="clear" w:color="auto" w:fill="FFFFFF"/>
        <w:ind w:firstLine="283"/>
        <w:jc w:val="both"/>
        <w:rPr>
          <w:szCs w:val="24"/>
        </w:rPr>
      </w:pPr>
      <w:r>
        <w:t>4. Требования к планировке складов и стеллажей</w:t>
      </w:r>
      <w:r>
        <w:t>.</w:t>
      </w:r>
    </w:p>
    <w:p w:rsidR="00FB1A98" w:rsidRDefault="0051017B" w:rsidP="0051017B">
      <w:pPr>
        <w:shd w:val="clear" w:color="auto" w:fill="FFFFFF"/>
        <w:ind w:firstLine="284"/>
        <w:jc w:val="both"/>
      </w:pPr>
      <w:r>
        <w:t>Список литературы</w:t>
      </w:r>
      <w:r>
        <w:t>.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center"/>
        <w:rPr>
          <w:b/>
          <w:bCs/>
          <w:szCs w:val="24"/>
        </w:rPr>
      </w:pPr>
      <w:r>
        <w:rPr>
          <w:b/>
          <w:bCs/>
        </w:rPr>
        <w:t>ПРЕДИСЛОВИЕ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Высотные механизированные стеллажные склады (ВМСС) стали типовыми объектами для хранения и распределения тарно-штучных грузов практически во всех отраслях народного хозяйства. В отличие от обычных складов из-за особенности их конструктивно-планировочного устройства пожар на ВМСС развивается чрезвычайно быстро и наносит большой материальный ущерб.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Для обеспечения противопожарной защиты ВМСС в 1972 г. во ВНИИПО были разработаны "Временные рекомендации по проектированию автоматических установок </w:t>
      </w:r>
      <w:proofErr w:type="spellStart"/>
      <w:r>
        <w:t>водопенного</w:t>
      </w:r>
      <w:proofErr w:type="spellEnd"/>
      <w:r>
        <w:t xml:space="preserve"> тушения пожаров в механизированных стеллажных складах" /1/. Дальнейшие исследования и анализ зарубежного опыта показали возможность и необходимость технического совершенствования установки пожаротушения и повышения ее экономических показателей.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В 1980-1984 гг. на основании теоретических и многочисленных экспериментальных исследований были разработаны следующие нормативные документы, в которых определялись требования к проектированию систем автоматической противопожарной защиты (АПЗ) для ВМСС, отличающихся объемно-планировочными решениями и характером горючей загрузки: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"Рекомендации по проектированию автоматических установок пожаротушения для высотных механизированных складов универсального назначения высотой до 16 м" /2/;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"Рекомендации по проектированию автоматических установок пожаротушения в высотных складах тарно-штучных грузов с передвижными стеллажами" /3/;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lastRenderedPageBreak/>
        <w:t>"Рекомендации по проектированию автоматических установок пожаротушения для высотных технологических складов" /4/;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"Рекомендации по проектированию автоматических установок пожаротушения в высотных стеллажных складах резинотехнических изделий с высотой складирования до 16 м" /5/.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Положительные результаты натурных огневых испытаний систем, наличие промышленной элементной базы к ним, простота конструкций и удобство эксплуатации обеспечили быстрое и массовое их внедрение на объектах Госагропрома СССР, Госснаба СССР и в различных отраслях промышленности.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В настоящее время </w:t>
      </w:r>
      <w:proofErr w:type="gramStart"/>
      <w:r>
        <w:t>разработан</w:t>
      </w:r>
      <w:proofErr w:type="gramEnd"/>
      <w:r>
        <w:t xml:space="preserve"> и утвержден новый СНиП /11/, который регламентирует основные противопожарные требования к этим сооружениям. В части высотных складов со стеллажным хранением от 5,5 до 25 м (п. 2.17) указано, что они должны обеспечиваться АПЗ согласно СНиП /7/.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Однако в СНиП /7/ отсутствуют требования к системам АПЗ для складов с высотой складирования более 16 м. В то же время действует ряд документов /1-5/ по проектированию автоматических установок пожаротушения (АУП) в ВМСС, что затрудняет работу специалистов, работающих в области их создания и эксплуатации. Проанализировав проектную документацию, опыт монтажа и эксплуатации систем АПЗ на реальных объектах, теоретически обобщив накопленный научный материал, ВНИИПО разработал обобщенные рекомендации по проектированию автоматических установок пожаротушения в высотных стеллажных складах".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С утверждением настоящих рекомендаций ранее вышедшие рекомендации /1-5/ по проектированию АПЗ высотных складов отменяются.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center"/>
        <w:rPr>
          <w:b/>
          <w:bCs/>
          <w:szCs w:val="24"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ПОЛОЖЕНИЯ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1.1. Настоящие рекомендации распространяются на проектирование автоматических установок пожаротушения в высотных складах со стационарными и передвижными стеллажами с высотой складирования от 5,5 до 25 м.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1.2. Рекомендации не распространяются на проектирование автоматических установок пожаротушения в складах лаков, красок, ЛВЖ, ГЖ, автошин, каучука, </w:t>
      </w:r>
      <w:proofErr w:type="spellStart"/>
      <w:r>
        <w:t>химпродукции</w:t>
      </w:r>
      <w:proofErr w:type="spellEnd"/>
      <w:r>
        <w:t>, медикаментов, тлеющих материалов (хлопок, табак), продукции в аэрозольной упаковке.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1.3. Автоматические установки пожаротушения в высотных складах должны соответствовать требованиям ГОСТа /6/.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1.4. Проектирование </w:t>
      </w:r>
      <w:proofErr w:type="spellStart"/>
      <w:r>
        <w:t>спринклерных</w:t>
      </w:r>
      <w:proofErr w:type="spellEnd"/>
      <w:r>
        <w:t xml:space="preserve"> установок в зоне приемки, упаковки, комплектации и отправки грузов производится в соответствии со СНиП /7/.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1.5. Проектирование автоматических установок пожаротушения в зоне высотного хранения осуществляется согласно требованиям, разделов 2 и 3 настоящих рекомендаций.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1.6. Гидравлический расчет всех установок пожаротушения, время их работы, выбор оборудования должны отвечать требованиям СНиП /7/.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1.7. Водоснабжение и внутренний противопожарный водопровод должны отвечать требованиям СНиП /8/ и /9/.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1.8. Стационарные стеллажи оборудуются горизонтальными экранами согласно требованиям </w:t>
      </w:r>
      <w:proofErr w:type="gramStart"/>
      <w:r>
        <w:t>раздета</w:t>
      </w:r>
      <w:proofErr w:type="gramEnd"/>
      <w:r>
        <w:t xml:space="preserve"> 4 настоящих рекомендаций.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1.9. Объемно-планировочные и конструктивные решения складов должны отвечать требованиям СНиП /10/ и /11/.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1.10. Общий расход воды на внутреннее пожаротушение высотных стеллажных складов следует принимать по наибольшему суммарному расходу в зоне стеллажного хранения или в зоне приемки, упаковки, комплектации и отправки грузов.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1.11. В насосной станции для подключения </w:t>
      </w:r>
      <w:proofErr w:type="spellStart"/>
      <w:r>
        <w:t>спринклерной</w:t>
      </w:r>
      <w:proofErr w:type="spellEnd"/>
      <w:r>
        <w:t xml:space="preserve"> установки к передвижной пожарной технике следует предусмотреть трубопроводы с соединительными головками, при этом они должны обеспечивать наибольший расчетный расход воды для одной из </w:t>
      </w:r>
      <w:proofErr w:type="spellStart"/>
      <w:r>
        <w:t>спринклерных</w:t>
      </w:r>
      <w:proofErr w:type="spellEnd"/>
      <w:r>
        <w:t xml:space="preserve"> секций.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center"/>
        <w:rPr>
          <w:b/>
          <w:bCs/>
          <w:szCs w:val="24"/>
        </w:rPr>
      </w:pPr>
      <w:r>
        <w:rPr>
          <w:b/>
          <w:bCs/>
        </w:rPr>
        <w:t>2. ТРЕБОВАНИЯ К АВТОМАТИЧЕСКИМ УСТАНОВКАМ ПОЖАРОТУШЕНИЯ ЗОНЫ ВЫСОТНОГО ХРАНЕНИЯ СО СТАЦИОНАРНЫМИ СТЕЛЛАЖАМИ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</w:pPr>
      <w:r>
        <w:t xml:space="preserve">2.1. В случае, когда стеллажи являются несущими конструкциями здания, размещение </w:t>
      </w:r>
      <w:proofErr w:type="spellStart"/>
      <w:r>
        <w:t>спринклерных</w:t>
      </w:r>
      <w:proofErr w:type="spellEnd"/>
      <w:r>
        <w:t xml:space="preserve"> оросителей под покрытием следует производить над проходами согласно схеме, приведенной на рис. 1. При этом расстояние между оросителями должно быть не более 2 м.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2.2. Если стеллажи не являются несущими конструкциями, размещение </w:t>
      </w:r>
      <w:proofErr w:type="spellStart"/>
      <w:r>
        <w:t>спринклерных</w:t>
      </w:r>
      <w:proofErr w:type="spellEnd"/>
      <w:r>
        <w:t xml:space="preserve"> </w:t>
      </w:r>
      <w:r>
        <w:lastRenderedPageBreak/>
        <w:t>оросителей под покрытием производится в соответствии со СНиП /7/.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2.3. В складах с несущими стеллажами в автоматических установках пожаротушения под покрытием рекомендуется применять оросители типа СП.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2.4. Для автоматических установок пожаротушения, размещаемых под покрытием над зоной стеллажного хранения, при высоте складирования до 16 м интенсивность орошения необходимо принимать не менее 0,12 л·с</w:t>
      </w:r>
      <w:r>
        <w:rPr>
          <w:vertAlign w:val="superscript"/>
        </w:rPr>
        <w:t>-1</w:t>
      </w:r>
      <w:r>
        <w:t>·м</w:t>
      </w:r>
      <w:r>
        <w:rPr>
          <w:vertAlign w:val="superscript"/>
        </w:rPr>
        <w:t>-2</w:t>
      </w:r>
      <w:r>
        <w:t>, при высоте складирования свыше 16 м - 0,18 л·с</w:t>
      </w:r>
      <w:r>
        <w:rPr>
          <w:vertAlign w:val="superscript"/>
        </w:rPr>
        <w:t>-1</w:t>
      </w:r>
      <w:r>
        <w:t>·м</w:t>
      </w:r>
      <w:r>
        <w:rPr>
          <w:vertAlign w:val="superscript"/>
        </w:rPr>
        <w:t>-2</w:t>
      </w:r>
      <w:r>
        <w:t>. Площадь для расчета расхода воды, раствора пенообразователя или воды со смачивателем независимо от вариантов расстановки оросителей - 180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p w:rsidR="00FB1A98" w:rsidRDefault="005017B6">
      <w:pPr>
        <w:ind w:firstLine="283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3124200" cy="2486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98" w:rsidRDefault="00FB1A98">
      <w:pPr>
        <w:shd w:val="clear" w:color="auto" w:fill="FFFFFF"/>
        <w:ind w:firstLine="283"/>
        <w:jc w:val="center"/>
      </w:pPr>
    </w:p>
    <w:p w:rsidR="00FB1A98" w:rsidRDefault="00FE5F68">
      <w:pPr>
        <w:shd w:val="clear" w:color="auto" w:fill="FFFFFF"/>
        <w:ind w:firstLine="283"/>
        <w:jc w:val="center"/>
      </w:pPr>
      <w:r>
        <w:t>Рис. 1. Схема размещения оросителей под покрытием склада с несущими стеллажами:</w:t>
      </w: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t>1 - стеллаж; 2 - распределительный трубопровод; 3 - ороситель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2.5. Во </w:t>
      </w:r>
      <w:proofErr w:type="spellStart"/>
      <w:r>
        <w:t>внутристеллажном</w:t>
      </w:r>
      <w:proofErr w:type="spellEnd"/>
      <w:r>
        <w:t xml:space="preserve"> пространстве в отапливаемых складах рекомендуется применять оросители типа </w:t>
      </w:r>
      <w:proofErr w:type="gramStart"/>
      <w:r>
        <w:t>СВ</w:t>
      </w:r>
      <w:proofErr w:type="gramEnd"/>
      <w:r>
        <w:t>, в неотапливаемых - типа СН. Возможные варианты установки этих оросителей показаны на рис. 2, 3, 4.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Выбор и размещение оросителей производится с учетом требуемой интенсивности и площади орошения. Радиус орошаемого круга во </w:t>
      </w:r>
      <w:proofErr w:type="spellStart"/>
      <w:r>
        <w:t>внутристеллажном</w:t>
      </w:r>
      <w:proofErr w:type="spellEnd"/>
      <w:r>
        <w:t xml:space="preserve"> пространстве для оросителей типа </w:t>
      </w:r>
      <w:proofErr w:type="gramStart"/>
      <w:r>
        <w:t>СВ</w:t>
      </w:r>
      <w:proofErr w:type="gramEnd"/>
      <w:r>
        <w:t xml:space="preserve"> следующий: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СВЭо-10 - 0,8 м;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СВЭо-15 - 0,9 м;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Расчетная площадь орошения для оросителя СНЭо-12 имеет форму квадрата со стороной </w:t>
      </w:r>
      <w:r>
        <w:rPr>
          <w:i/>
          <w:iCs/>
          <w:lang w:val="en-US"/>
        </w:rPr>
        <w:t>a</w:t>
      </w:r>
      <w:r>
        <w:t>. В зависимости от расстояния до защищаемой поверхности (</w:t>
      </w:r>
      <w:r>
        <w:rPr>
          <w:i/>
          <w:iCs/>
          <w:lang w:val="en-US"/>
        </w:rPr>
        <w:t>H</w:t>
      </w:r>
      <w:r>
        <w:t xml:space="preserve">) значения </w:t>
      </w:r>
      <w:r>
        <w:rPr>
          <w:i/>
          <w:iCs/>
          <w:lang w:val="en-US"/>
        </w:rPr>
        <w:t>a</w:t>
      </w:r>
      <w:r>
        <w:t xml:space="preserve"> принимаются следующие:</w:t>
      </w:r>
    </w:p>
    <w:p w:rsidR="00FB1A98" w:rsidRDefault="00FE5F68">
      <w:pPr>
        <w:shd w:val="clear" w:color="auto" w:fill="FFFFFF"/>
        <w:tabs>
          <w:tab w:val="left" w:pos="1800"/>
        </w:tabs>
        <w:ind w:firstLine="283"/>
        <w:jc w:val="both"/>
        <w:rPr>
          <w:szCs w:val="24"/>
        </w:rPr>
      </w:pPr>
      <w:r>
        <w:t xml:space="preserve">при </w:t>
      </w:r>
      <w:r>
        <w:rPr>
          <w:i/>
        </w:rPr>
        <w:t>Н</w:t>
      </w:r>
      <w:r>
        <w:t xml:space="preserve"> = 0,05 м</w:t>
      </w:r>
      <w:r>
        <w:tab/>
      </w:r>
      <w:r>
        <w:rPr>
          <w:i/>
          <w:iCs/>
          <w:lang w:val="en-US"/>
        </w:rPr>
        <w:t>a</w:t>
      </w:r>
      <w:r>
        <w:t xml:space="preserve"> = 1,1 м;</w:t>
      </w:r>
    </w:p>
    <w:p w:rsidR="00FB1A98" w:rsidRDefault="00FE5F68">
      <w:pPr>
        <w:shd w:val="clear" w:color="auto" w:fill="FFFFFF"/>
        <w:tabs>
          <w:tab w:val="left" w:pos="1800"/>
        </w:tabs>
        <w:ind w:firstLine="283"/>
        <w:jc w:val="both"/>
        <w:rPr>
          <w:szCs w:val="24"/>
        </w:rPr>
      </w:pPr>
      <w:r>
        <w:t xml:space="preserve">при </w:t>
      </w:r>
      <w:r>
        <w:rPr>
          <w:i/>
        </w:rPr>
        <w:t>Н</w:t>
      </w:r>
      <w:r>
        <w:t xml:space="preserve"> = 0,1 м</w:t>
      </w:r>
      <w:r>
        <w:tab/>
      </w:r>
      <w:r>
        <w:rPr>
          <w:i/>
          <w:iCs/>
          <w:lang w:val="en-US"/>
        </w:rPr>
        <w:t>a</w:t>
      </w:r>
      <w:r>
        <w:t xml:space="preserve"> = 1,3 м;</w:t>
      </w:r>
    </w:p>
    <w:p w:rsidR="00FB1A98" w:rsidRDefault="00FE5F68">
      <w:pPr>
        <w:shd w:val="clear" w:color="auto" w:fill="FFFFFF"/>
        <w:tabs>
          <w:tab w:val="left" w:pos="1800"/>
        </w:tabs>
        <w:ind w:firstLine="283"/>
        <w:jc w:val="both"/>
        <w:rPr>
          <w:szCs w:val="24"/>
        </w:rPr>
      </w:pPr>
      <w:r>
        <w:t xml:space="preserve">при </w:t>
      </w:r>
      <w:r>
        <w:rPr>
          <w:i/>
        </w:rPr>
        <w:t>Н</w:t>
      </w:r>
      <w:r>
        <w:t xml:space="preserve"> = 0,2 м</w:t>
      </w:r>
      <w:r>
        <w:tab/>
      </w:r>
      <w:r>
        <w:rPr>
          <w:i/>
          <w:iCs/>
          <w:lang w:val="en-US"/>
        </w:rPr>
        <w:t>a</w:t>
      </w:r>
      <w:r>
        <w:t xml:space="preserve"> = 1,6 м.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2.6. Во </w:t>
      </w:r>
      <w:proofErr w:type="spellStart"/>
      <w:r>
        <w:t>внутристеллажном</w:t>
      </w:r>
      <w:proofErr w:type="spellEnd"/>
      <w:r>
        <w:t xml:space="preserve"> пространстве спринклерные оросители устанавливаются под экраном следующим образом: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оросители типа </w:t>
      </w:r>
      <w:proofErr w:type="gramStart"/>
      <w:r>
        <w:t>СВ</w:t>
      </w:r>
      <w:proofErr w:type="gramEnd"/>
      <w:r>
        <w:t xml:space="preserve"> устанавливаются розеткой вниз, расстояние между розеткой оросителя и верхом хранимых грузов не менее 50 мм, расстояние между розеткой и экраном не более 250 и не менее 100 мм;</w:t>
      </w:r>
    </w:p>
    <w:p w:rsidR="00FB1A98" w:rsidRDefault="00FE5F68">
      <w:pPr>
        <w:shd w:val="clear" w:color="auto" w:fill="FFFFFF"/>
        <w:ind w:firstLine="283"/>
        <w:jc w:val="both"/>
        <w:rPr>
          <w:lang w:val="en-US"/>
        </w:rPr>
      </w:pPr>
      <w:r>
        <w:t>оросители типа СН следует располагать горизонтально, при этом направляющая лопатка должна быть в верхнем положении и параллельна плоскости пола;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в радиусе 150 мм в экранах над оросителями не допускается расположение сквозных отверстий, щелей.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2.7. Свободный напор у диктующего оросителя в универсальных складах во </w:t>
      </w:r>
      <w:proofErr w:type="spellStart"/>
      <w:r>
        <w:t>внутристеллажном</w:t>
      </w:r>
      <w:proofErr w:type="spellEnd"/>
      <w:r>
        <w:t xml:space="preserve"> пространстве должен быть не менее 0,1 МПа, в складах резинотехнических изделий - 0,15 МПа.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2.8. Общий расход воды на пожаротушение определяется по формуле </w:t>
      </w:r>
      <w:r>
        <w:rPr>
          <w:i/>
          <w:iCs/>
          <w:lang w:val="en-US"/>
        </w:rPr>
        <w:t>Q</w:t>
      </w:r>
      <w:r>
        <w:t xml:space="preserve"> = </w:t>
      </w:r>
      <w:r>
        <w:rPr>
          <w:i/>
          <w:iCs/>
          <w:lang w:val="en-US"/>
        </w:rPr>
        <w:t>Q</w:t>
      </w:r>
      <w:proofErr w:type="spellStart"/>
      <w:r>
        <w:rPr>
          <w:i/>
          <w:iCs/>
          <w:vertAlign w:val="subscript"/>
        </w:rPr>
        <w:t>вн</w:t>
      </w:r>
      <w:proofErr w:type="gramStart"/>
      <w:r>
        <w:rPr>
          <w:i/>
          <w:iCs/>
          <w:vertAlign w:val="subscript"/>
        </w:rPr>
        <w:t>.с</w:t>
      </w:r>
      <w:proofErr w:type="gramEnd"/>
      <w:r>
        <w:rPr>
          <w:i/>
          <w:iCs/>
          <w:vertAlign w:val="subscript"/>
        </w:rPr>
        <w:t>т</w:t>
      </w:r>
      <w:proofErr w:type="spellEnd"/>
      <w:r>
        <w:t xml:space="preserve"> + </w:t>
      </w:r>
      <w:r>
        <w:rPr>
          <w:i/>
          <w:iCs/>
          <w:lang w:val="en-US"/>
        </w:rPr>
        <w:t>Q</w:t>
      </w:r>
      <w:r>
        <w:rPr>
          <w:i/>
          <w:iCs/>
          <w:vertAlign w:val="subscript"/>
        </w:rPr>
        <w:t>п</w:t>
      </w:r>
      <w:r>
        <w:t xml:space="preserve"> + </w:t>
      </w:r>
      <w:r>
        <w:rPr>
          <w:i/>
          <w:iCs/>
          <w:lang w:val="en-US"/>
        </w:rPr>
        <w:t>Q</w:t>
      </w:r>
      <w:proofErr w:type="spellStart"/>
      <w:r>
        <w:rPr>
          <w:i/>
          <w:iCs/>
          <w:vertAlign w:val="subscript"/>
        </w:rPr>
        <w:t>вн.вод</w:t>
      </w:r>
      <w:proofErr w:type="spellEnd"/>
      <w:r>
        <w:t xml:space="preserve">, где </w:t>
      </w:r>
      <w:r>
        <w:rPr>
          <w:i/>
          <w:iCs/>
          <w:lang w:val="en-US"/>
        </w:rPr>
        <w:t>Q</w:t>
      </w:r>
      <w:proofErr w:type="spellStart"/>
      <w:r>
        <w:rPr>
          <w:i/>
          <w:iCs/>
          <w:vertAlign w:val="subscript"/>
        </w:rPr>
        <w:t>вн.ст</w:t>
      </w:r>
      <w:proofErr w:type="spellEnd"/>
      <w:r>
        <w:t xml:space="preserve"> - расход воды для </w:t>
      </w:r>
      <w:proofErr w:type="spellStart"/>
      <w:r>
        <w:t>спринклерной</w:t>
      </w:r>
      <w:proofErr w:type="spellEnd"/>
      <w:r>
        <w:t xml:space="preserve"> установки во </w:t>
      </w:r>
      <w:proofErr w:type="spellStart"/>
      <w:r>
        <w:t>внутристеллажном</w:t>
      </w:r>
      <w:proofErr w:type="spellEnd"/>
      <w:r>
        <w:t xml:space="preserve"> пространстве, л·с</w:t>
      </w:r>
      <w:r>
        <w:rPr>
          <w:vertAlign w:val="superscript"/>
        </w:rPr>
        <w:t>-1</w:t>
      </w:r>
      <w:r>
        <w:t xml:space="preserve">; </w:t>
      </w:r>
      <w:r>
        <w:rPr>
          <w:i/>
          <w:iCs/>
          <w:lang w:val="en-US"/>
        </w:rPr>
        <w:t>Q</w:t>
      </w:r>
      <w:r>
        <w:rPr>
          <w:i/>
          <w:iCs/>
          <w:vertAlign w:val="subscript"/>
        </w:rPr>
        <w:t>п</w:t>
      </w:r>
      <w:r>
        <w:t xml:space="preserve"> - расход воды для </w:t>
      </w:r>
      <w:proofErr w:type="spellStart"/>
      <w:r>
        <w:t>спринклерной</w:t>
      </w:r>
      <w:proofErr w:type="spellEnd"/>
      <w:r>
        <w:t xml:space="preserve"> установки под покрытием, л·с</w:t>
      </w:r>
      <w:r>
        <w:rPr>
          <w:vertAlign w:val="superscript"/>
        </w:rPr>
        <w:t>-1</w:t>
      </w:r>
      <w:r>
        <w:t xml:space="preserve">, </w:t>
      </w:r>
      <w:r>
        <w:rPr>
          <w:i/>
          <w:iCs/>
          <w:lang w:val="en-US"/>
        </w:rPr>
        <w:t>Q</w:t>
      </w:r>
      <w:proofErr w:type="spellStart"/>
      <w:r>
        <w:rPr>
          <w:i/>
          <w:iCs/>
          <w:vertAlign w:val="subscript"/>
        </w:rPr>
        <w:t>вн.вод</w:t>
      </w:r>
      <w:proofErr w:type="spellEnd"/>
      <w:r>
        <w:t xml:space="preserve"> - расход воды для внутреннего противопожарного водопровода, л·с</w:t>
      </w:r>
      <w:r>
        <w:rPr>
          <w:vertAlign w:val="superscript"/>
        </w:rPr>
        <w:t>-1</w:t>
      </w:r>
      <w:r>
        <w:t>.</w:t>
      </w:r>
    </w:p>
    <w:p w:rsidR="00FB1A98" w:rsidRDefault="00FE5F68">
      <w:pPr>
        <w:shd w:val="clear" w:color="auto" w:fill="FFFFFF"/>
        <w:ind w:firstLine="283"/>
        <w:jc w:val="both"/>
      </w:pPr>
      <w:r>
        <w:lastRenderedPageBreak/>
        <w:t xml:space="preserve">2.9. Расход воды для </w:t>
      </w:r>
      <w:proofErr w:type="spellStart"/>
      <w:r>
        <w:t>спринклерной</w:t>
      </w:r>
      <w:proofErr w:type="spellEnd"/>
      <w:r>
        <w:t xml:space="preserve"> установки во </w:t>
      </w:r>
      <w:proofErr w:type="spellStart"/>
      <w:r>
        <w:t>внутристеллажном</w:t>
      </w:r>
      <w:proofErr w:type="spellEnd"/>
      <w:r>
        <w:t xml:space="preserve"> пространстве определяется по формуле </w:t>
      </w:r>
      <w:r w:rsidR="008371BE">
        <w:rPr>
          <w:position w:val="-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pt;height:29.5pt">
            <v:imagedata r:id="rId7" o:title=""/>
          </v:shape>
        </w:pict>
      </w:r>
      <w:r>
        <w:t xml:space="preserve">, где </w:t>
      </w:r>
      <w:r>
        <w:rPr>
          <w:i/>
          <w:iCs/>
          <w:lang w:val="en-US"/>
        </w:rPr>
        <w:t>A</w:t>
      </w:r>
      <w:r>
        <w:t xml:space="preserve"> - длина расчетной секции, </w:t>
      </w:r>
      <w:proofErr w:type="gramStart"/>
      <w:r>
        <w:t>м</w:t>
      </w:r>
      <w:proofErr w:type="gramEnd"/>
      <w:r>
        <w:t xml:space="preserve">; </w:t>
      </w:r>
      <w:r>
        <w:rPr>
          <w:i/>
          <w:iCs/>
          <w:lang w:val="en-US"/>
        </w:rPr>
        <w:t>B</w:t>
      </w:r>
      <w:r>
        <w:t xml:space="preserve"> - наибольшая ширина совмещенных стеллажей, м; </w:t>
      </w:r>
      <w:r>
        <w:rPr>
          <w:i/>
          <w:iCs/>
          <w:lang w:val="en-US"/>
        </w:rPr>
        <w:t>k</w:t>
      </w:r>
      <w:r>
        <w:t xml:space="preserve"> - количество экранов по высоте; </w:t>
      </w:r>
      <w:proofErr w:type="spellStart"/>
      <w:r>
        <w:rPr>
          <w:i/>
          <w:iCs/>
          <w:lang w:val="en-US"/>
        </w:rPr>
        <w:t>q</w:t>
      </w:r>
      <w:r>
        <w:rPr>
          <w:i/>
          <w:iCs/>
          <w:vertAlign w:val="subscript"/>
          <w:lang w:val="en-US"/>
        </w:rPr>
        <w:t>h</w:t>
      </w:r>
      <w:proofErr w:type="spellEnd"/>
      <w:r>
        <w:t xml:space="preserve"> - интенсивность орошения под экраном, л·с</w:t>
      </w:r>
      <w:r>
        <w:rPr>
          <w:vertAlign w:val="superscript"/>
        </w:rPr>
        <w:t>-1</w:t>
      </w:r>
      <w:r>
        <w:t>·м</w:t>
      </w:r>
      <w:r>
        <w:rPr>
          <w:vertAlign w:val="superscript"/>
        </w:rPr>
        <w:t>-2</w:t>
      </w:r>
      <w:r>
        <w:t>.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p w:rsidR="00FB1A98" w:rsidRDefault="005017B6">
      <w:pPr>
        <w:ind w:firstLine="283"/>
        <w:jc w:val="center"/>
        <w:rPr>
          <w:szCs w:val="24"/>
          <w:lang w:val="en-US"/>
        </w:rPr>
      </w:pPr>
      <w:r>
        <w:rPr>
          <w:noProof/>
          <w:szCs w:val="24"/>
        </w:rPr>
        <w:drawing>
          <wp:inline distT="0" distB="0" distL="0" distR="0">
            <wp:extent cx="2914650" cy="3609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98" w:rsidRDefault="00FB1A98">
      <w:pPr>
        <w:ind w:firstLine="283"/>
        <w:jc w:val="center"/>
        <w:rPr>
          <w:szCs w:val="24"/>
          <w:lang w:val="en-US"/>
        </w:rPr>
      </w:pP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t xml:space="preserve">Рис. 2. Примерная схема размещения оросителей типа </w:t>
      </w:r>
      <w:proofErr w:type="gramStart"/>
      <w:r>
        <w:t>СВ</w:t>
      </w:r>
      <w:proofErr w:type="gramEnd"/>
      <w:r>
        <w:t xml:space="preserve"> во </w:t>
      </w:r>
      <w:proofErr w:type="spellStart"/>
      <w:r>
        <w:t>внутристеллажном</w:t>
      </w:r>
      <w:proofErr w:type="spellEnd"/>
      <w:r>
        <w:t xml:space="preserve"> пространстве спаренного стеллажа:</w:t>
      </w:r>
    </w:p>
    <w:p w:rsidR="00FB1A98" w:rsidRDefault="00FE5F68">
      <w:pPr>
        <w:shd w:val="clear" w:color="auto" w:fill="FFFFFF"/>
        <w:ind w:firstLine="283"/>
        <w:jc w:val="center"/>
      </w:pPr>
      <w:r>
        <w:t>1 - распределительный трубопровод; 2 - экран; 3 – хранимые грузы; 4 - поддон; 5 - стеллаж</w:t>
      </w:r>
    </w:p>
    <w:p w:rsidR="00FB1A98" w:rsidRDefault="00FB1A98">
      <w:pPr>
        <w:shd w:val="clear" w:color="auto" w:fill="FFFFFF"/>
        <w:ind w:firstLine="283"/>
        <w:jc w:val="center"/>
        <w:rPr>
          <w:szCs w:val="24"/>
        </w:rPr>
      </w:pPr>
    </w:p>
    <w:p w:rsidR="00FB1A98" w:rsidRDefault="005017B6">
      <w:pPr>
        <w:ind w:firstLine="283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2314575" cy="2552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98" w:rsidRDefault="00FB1A98">
      <w:pPr>
        <w:shd w:val="clear" w:color="auto" w:fill="FFFFFF"/>
        <w:ind w:firstLine="283"/>
        <w:jc w:val="center"/>
        <w:rPr>
          <w:szCs w:val="16"/>
        </w:rPr>
      </w:pPr>
    </w:p>
    <w:p w:rsidR="00FB1A98" w:rsidRDefault="00FE5F68">
      <w:pPr>
        <w:shd w:val="clear" w:color="auto" w:fill="FFFFFF"/>
        <w:ind w:firstLine="283"/>
        <w:jc w:val="center"/>
        <w:rPr>
          <w:szCs w:val="16"/>
        </w:rPr>
      </w:pPr>
      <w:r>
        <w:rPr>
          <w:szCs w:val="16"/>
        </w:rPr>
        <w:t xml:space="preserve">Рис. 3. Примерная схема размещения оросителей типа </w:t>
      </w:r>
      <w:proofErr w:type="gramStart"/>
      <w:r>
        <w:rPr>
          <w:szCs w:val="16"/>
        </w:rPr>
        <w:t>СВ</w:t>
      </w:r>
      <w:proofErr w:type="gramEnd"/>
      <w:r>
        <w:rPr>
          <w:szCs w:val="16"/>
        </w:rPr>
        <w:t xml:space="preserve"> в одинарном стеллаже:</w:t>
      </w:r>
    </w:p>
    <w:p w:rsidR="00FB1A98" w:rsidRDefault="00FE5F68">
      <w:pPr>
        <w:shd w:val="clear" w:color="auto" w:fill="FFFFFF"/>
        <w:ind w:firstLine="283"/>
        <w:jc w:val="center"/>
        <w:rPr>
          <w:szCs w:val="16"/>
        </w:rPr>
      </w:pPr>
      <w:r>
        <w:rPr>
          <w:szCs w:val="16"/>
        </w:rPr>
        <w:t xml:space="preserve">1 - стеллаж; 2 - распределительный трубопровод; 3 - ороситель типа </w:t>
      </w:r>
      <w:proofErr w:type="gramStart"/>
      <w:r>
        <w:rPr>
          <w:szCs w:val="16"/>
        </w:rPr>
        <w:t>СВ</w:t>
      </w:r>
      <w:proofErr w:type="gramEnd"/>
      <w:r>
        <w:rPr>
          <w:szCs w:val="16"/>
        </w:rPr>
        <w:t>; 4 - экран;</w:t>
      </w:r>
    </w:p>
    <w:p w:rsidR="00FB1A98" w:rsidRDefault="00FE5F68">
      <w:pPr>
        <w:shd w:val="clear" w:color="auto" w:fill="FFFFFF"/>
        <w:ind w:firstLine="283"/>
        <w:jc w:val="center"/>
        <w:rPr>
          <w:szCs w:val="16"/>
        </w:rPr>
      </w:pPr>
      <w:r>
        <w:rPr>
          <w:szCs w:val="16"/>
        </w:rPr>
        <w:t>5 -стеновая панель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5017B6">
      <w:pPr>
        <w:ind w:firstLine="283"/>
        <w:jc w:val="center"/>
        <w:rPr>
          <w:szCs w:val="24"/>
          <w:lang w:val="en-US"/>
        </w:rPr>
      </w:pPr>
      <w:r>
        <w:rPr>
          <w:noProof/>
          <w:szCs w:val="24"/>
        </w:rPr>
        <w:lastRenderedPageBreak/>
        <w:drawing>
          <wp:inline distT="0" distB="0" distL="0" distR="0">
            <wp:extent cx="3076575" cy="1247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98" w:rsidRDefault="00FB1A98">
      <w:pPr>
        <w:ind w:firstLine="283"/>
        <w:jc w:val="center"/>
        <w:rPr>
          <w:szCs w:val="24"/>
          <w:lang w:val="en-US"/>
        </w:rPr>
      </w:pP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rPr>
          <w:szCs w:val="16"/>
        </w:rPr>
        <w:t xml:space="preserve">Рис. 4. Схема установки оросителей типа СН на распределительных трубопроводах во </w:t>
      </w:r>
      <w:proofErr w:type="spellStart"/>
      <w:r>
        <w:rPr>
          <w:szCs w:val="16"/>
        </w:rPr>
        <w:t>внутристеллажном</w:t>
      </w:r>
      <w:proofErr w:type="spellEnd"/>
      <w:r>
        <w:rPr>
          <w:szCs w:val="16"/>
        </w:rPr>
        <w:t xml:space="preserve"> пространстве (вид сверху):</w:t>
      </w: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rPr>
          <w:szCs w:val="16"/>
        </w:rPr>
        <w:t>1 - распределительный трубопровод; 2 - ороситель типа СН; 3 - стеллаж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Коэффициент </w:t>
      </w:r>
      <w:r>
        <w:rPr>
          <w:i/>
          <w:iCs/>
          <w:lang w:val="en-US"/>
        </w:rPr>
        <w:t>A</w:t>
      </w:r>
      <w:r>
        <w:t xml:space="preserve"> определяется по табл. 1 в зависимости от конструкции применяемых поддонов для складирования материалов.</w:t>
      </w:r>
    </w:p>
    <w:p w:rsidR="00FB1A98" w:rsidRDefault="00FB1A98">
      <w:pPr>
        <w:shd w:val="clear" w:color="auto" w:fill="FFFFFF"/>
        <w:ind w:firstLine="283"/>
        <w:jc w:val="both"/>
        <w:rPr>
          <w:lang w:val="en-US"/>
        </w:rPr>
      </w:pPr>
    </w:p>
    <w:p w:rsidR="00FB1A98" w:rsidRDefault="00FE5F68">
      <w:pPr>
        <w:shd w:val="clear" w:color="auto" w:fill="FFFFFF"/>
        <w:ind w:firstLine="283"/>
        <w:jc w:val="right"/>
        <w:rPr>
          <w:lang w:val="en-US"/>
        </w:rPr>
      </w:pPr>
      <w:r>
        <w:t>Таблица 1</w:t>
      </w:r>
    </w:p>
    <w:p w:rsidR="00FB1A98" w:rsidRDefault="00FB1A98">
      <w:pPr>
        <w:shd w:val="clear" w:color="auto" w:fill="FFFFFF"/>
        <w:ind w:firstLine="283"/>
        <w:jc w:val="both"/>
        <w:rPr>
          <w:lang w:val="en-US"/>
        </w:rPr>
      </w:pPr>
    </w:p>
    <w:p w:rsidR="00FB1A98" w:rsidRDefault="00FE5F68">
      <w:pPr>
        <w:shd w:val="clear" w:color="auto" w:fill="FFFFFF"/>
        <w:ind w:firstLine="283"/>
        <w:jc w:val="center"/>
        <w:rPr>
          <w:b/>
          <w:bCs/>
        </w:rPr>
      </w:pPr>
      <w:r>
        <w:rPr>
          <w:b/>
          <w:bCs/>
        </w:rPr>
        <w:t>Значения коэффициента</w:t>
      </w:r>
      <w:proofErr w:type="gramStart"/>
      <w:r>
        <w:rPr>
          <w:b/>
          <w:bCs/>
        </w:rPr>
        <w:t xml:space="preserve"> </w:t>
      </w:r>
      <w:r>
        <w:rPr>
          <w:b/>
          <w:bCs/>
          <w:i/>
          <w:iCs/>
        </w:rPr>
        <w:t>А</w:t>
      </w:r>
      <w:proofErr w:type="gramEnd"/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4"/>
        <w:gridCol w:w="5217"/>
      </w:tblGrid>
      <w:tr w:rsidR="00FB1A98">
        <w:trPr>
          <w:trHeight w:val="23"/>
        </w:trPr>
        <w:tc>
          <w:tcPr>
            <w:tcW w:w="22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Тип поддона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Длина расчетной секции</w:t>
            </w:r>
            <w:proofErr w:type="gramStart"/>
            <w:r>
              <w:t xml:space="preserve"> </w:t>
            </w:r>
            <w:r>
              <w:rPr>
                <w:i/>
                <w:iCs/>
              </w:rPr>
              <w:t>А</w:t>
            </w:r>
            <w:proofErr w:type="gramEnd"/>
            <w:r>
              <w:t>, м</w:t>
            </w:r>
          </w:p>
        </w:tc>
      </w:tr>
      <w:tr w:rsidR="00FB1A98">
        <w:trPr>
          <w:trHeight w:val="23"/>
        </w:trPr>
        <w:tc>
          <w:tcPr>
            <w:tcW w:w="229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Плоский поддон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6"/>
              </w:rPr>
              <w:t>15</w:t>
            </w:r>
          </w:p>
        </w:tc>
      </w:tr>
      <w:tr w:rsidR="00FB1A98">
        <w:trPr>
          <w:trHeight w:val="23"/>
        </w:trPr>
        <w:tc>
          <w:tcPr>
            <w:tcW w:w="229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Стоечный поддон</w:t>
            </w:r>
          </w:p>
        </w:tc>
        <w:tc>
          <w:tcPr>
            <w:tcW w:w="380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6"/>
              </w:rPr>
              <w:t>12</w:t>
            </w:r>
          </w:p>
        </w:tc>
      </w:tr>
      <w:tr w:rsidR="00FB1A98">
        <w:trPr>
          <w:trHeight w:val="23"/>
        </w:trPr>
        <w:tc>
          <w:tcPr>
            <w:tcW w:w="229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Металлический ящичный поддон</w:t>
            </w:r>
          </w:p>
        </w:tc>
        <w:tc>
          <w:tcPr>
            <w:tcW w:w="380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8</w:t>
            </w:r>
          </w:p>
        </w:tc>
      </w:tr>
    </w:tbl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</w:pPr>
      <w:r>
        <w:t xml:space="preserve">Интенсивность орошения во </w:t>
      </w:r>
      <w:proofErr w:type="spellStart"/>
      <w:r>
        <w:t>внутристеллажном</w:t>
      </w:r>
      <w:proofErr w:type="spellEnd"/>
      <w:r>
        <w:t xml:space="preserve"> пространстве определяется по табл. 2.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p w:rsidR="00FB1A98" w:rsidRDefault="00FE5F68">
      <w:pPr>
        <w:shd w:val="clear" w:color="auto" w:fill="FFFFFF"/>
        <w:ind w:firstLine="283"/>
        <w:jc w:val="right"/>
      </w:pPr>
      <w:r>
        <w:t>Таблица 2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center"/>
        <w:rPr>
          <w:b/>
          <w:bCs/>
        </w:rPr>
      </w:pPr>
      <w:r>
        <w:rPr>
          <w:b/>
          <w:bCs/>
        </w:rPr>
        <w:t xml:space="preserve">Интенсивность орошения во </w:t>
      </w:r>
      <w:proofErr w:type="spellStart"/>
      <w:r>
        <w:rPr>
          <w:b/>
          <w:bCs/>
        </w:rPr>
        <w:t>внутристеллажном</w:t>
      </w:r>
      <w:proofErr w:type="spellEnd"/>
      <w:r>
        <w:rPr>
          <w:b/>
          <w:bCs/>
        </w:rPr>
        <w:t xml:space="preserve"> пространстве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8"/>
        <w:gridCol w:w="1552"/>
        <w:gridCol w:w="1264"/>
        <w:gridCol w:w="1427"/>
      </w:tblGrid>
      <w:tr w:rsidR="00FB1A98">
        <w:trPr>
          <w:cantSplit/>
          <w:trHeight w:val="23"/>
        </w:trPr>
        <w:tc>
          <w:tcPr>
            <w:tcW w:w="4128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Перечень складируемых материалов</w:t>
            </w:r>
          </w:p>
        </w:tc>
        <w:tc>
          <w:tcPr>
            <w:tcW w:w="424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 xml:space="preserve">Расстояние между экранами, </w:t>
            </w:r>
            <w:proofErr w:type="gramStart"/>
            <w:r>
              <w:t>м</w:t>
            </w:r>
            <w:proofErr w:type="gramEnd"/>
          </w:p>
        </w:tc>
      </w:tr>
      <w:tr w:rsidR="00FB1A98">
        <w:trPr>
          <w:cantSplit/>
          <w:trHeight w:val="23"/>
        </w:trPr>
        <w:tc>
          <w:tcPr>
            <w:tcW w:w="41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A98" w:rsidRDefault="00FB1A98">
            <w:pPr>
              <w:jc w:val="center"/>
              <w:rPr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4-4,5</w:t>
            </w:r>
          </w:p>
        </w:tc>
      </w:tr>
      <w:tr w:rsidR="00FB1A98">
        <w:trPr>
          <w:cantSplit/>
          <w:trHeight w:val="23"/>
        </w:trPr>
        <w:tc>
          <w:tcPr>
            <w:tcW w:w="4128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A98" w:rsidRDefault="00FB1A98">
            <w:pPr>
              <w:jc w:val="center"/>
              <w:rPr>
                <w:szCs w:val="24"/>
              </w:rPr>
            </w:pPr>
          </w:p>
        </w:tc>
        <w:tc>
          <w:tcPr>
            <w:tcW w:w="42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 xml:space="preserve">Интенсивность орошения под экраном, </w:t>
            </w:r>
            <w:proofErr w:type="gramStart"/>
            <w:r>
              <w:t>л</w:t>
            </w:r>
            <w:proofErr w:type="gramEnd"/>
            <w:r>
              <w:t>·с</w:t>
            </w:r>
            <w:r>
              <w:rPr>
                <w:vertAlign w:val="superscript"/>
              </w:rPr>
              <w:t>-1</w:t>
            </w:r>
            <w:r>
              <w:t>·м</w:t>
            </w:r>
            <w:r>
              <w:rPr>
                <w:vertAlign w:val="superscript"/>
              </w:rPr>
              <w:t>-2</w:t>
            </w:r>
            <w:r>
              <w:t>, не менее</w:t>
            </w:r>
          </w:p>
        </w:tc>
      </w:tr>
      <w:tr w:rsidR="00FB1A98">
        <w:trPr>
          <w:trHeight w:val="23"/>
        </w:trPr>
        <w:tc>
          <w:tcPr>
            <w:tcW w:w="41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Твердые несгораемые материалы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0,24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0,36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0,5</w:t>
            </w:r>
          </w:p>
        </w:tc>
      </w:tr>
      <w:tr w:rsidR="00FB1A98">
        <w:trPr>
          <w:trHeight w:val="23"/>
        </w:trPr>
        <w:tc>
          <w:tcPr>
            <w:tcW w:w="41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Несгораемые материалы в сгораемой упаковке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0,2</w:t>
            </w:r>
          </w:p>
        </w:tc>
        <w:tc>
          <w:tcPr>
            <w:tcW w:w="12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0,3</w:t>
            </w: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0,4</w:t>
            </w:r>
          </w:p>
        </w:tc>
      </w:tr>
      <w:tr w:rsidR="00FB1A98">
        <w:trPr>
          <w:trHeight w:val="23"/>
        </w:trPr>
        <w:tc>
          <w:tcPr>
            <w:tcW w:w="41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Резинотехнические изделия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0,4</w:t>
            </w:r>
          </w:p>
        </w:tc>
        <w:tc>
          <w:tcPr>
            <w:tcW w:w="12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0,6</w:t>
            </w: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0,8</w:t>
            </w:r>
          </w:p>
        </w:tc>
      </w:tr>
    </w:tbl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При использовании раствора пенообразователя или воды со смачивателем интенсивности орошения, указанные в табл. 2, могут быть снижены в 1,5 раза.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2.10. Грузы высотой до 1 м (кроме РТИ), размещаемые на верхнем ярусе стеллажей (за исключением несущих) над экраном, допускается защищать </w:t>
      </w:r>
      <w:proofErr w:type="spellStart"/>
      <w:r>
        <w:t>спринклерной</w:t>
      </w:r>
      <w:proofErr w:type="spellEnd"/>
      <w:r>
        <w:t xml:space="preserve"> установкой, расположенной под покрытием помещения склада. При этом интенсивность орошения должна приниматься не менее 0,16 л·с</w:t>
      </w:r>
      <w:r>
        <w:rPr>
          <w:vertAlign w:val="superscript"/>
        </w:rPr>
        <w:t>-1</w:t>
      </w:r>
      <w:r>
        <w:t>·м</w:t>
      </w:r>
      <w:r>
        <w:rPr>
          <w:vertAlign w:val="superscript"/>
        </w:rPr>
        <w:t>-2</w:t>
      </w:r>
      <w:r>
        <w:t>, а расстояние от верха хранимых грузов до потолка не должно превышать 10 м.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2.11. Спринклерные секции под покрытием и во </w:t>
      </w:r>
      <w:proofErr w:type="spellStart"/>
      <w:r>
        <w:t>внутристеллажном</w:t>
      </w:r>
      <w:proofErr w:type="spellEnd"/>
      <w:r>
        <w:t xml:space="preserve"> пространстве должны иметь отдельные узлы управления.</w:t>
      </w:r>
    </w:p>
    <w:p w:rsidR="00FB1A98" w:rsidRDefault="00FE5F68">
      <w:pPr>
        <w:shd w:val="clear" w:color="auto" w:fill="FFFFFF"/>
        <w:ind w:firstLine="283"/>
        <w:jc w:val="both"/>
        <w:rPr>
          <w:lang w:val="en-US"/>
        </w:rPr>
      </w:pPr>
      <w:r>
        <w:t xml:space="preserve">2.12. В качестве </w:t>
      </w:r>
      <w:proofErr w:type="gramStart"/>
      <w:r>
        <w:t>автоматического</w:t>
      </w:r>
      <w:proofErr w:type="gramEnd"/>
      <w:r>
        <w:t xml:space="preserve"> </w:t>
      </w:r>
      <w:proofErr w:type="spellStart"/>
      <w:r>
        <w:t>водопитателя</w:t>
      </w:r>
      <w:proofErr w:type="spellEnd"/>
      <w:r>
        <w:t xml:space="preserve"> установки используется </w:t>
      </w:r>
      <w:proofErr w:type="spellStart"/>
      <w:r>
        <w:t>гидропневмобак</w:t>
      </w:r>
      <w:proofErr w:type="spellEnd"/>
      <w:r>
        <w:t>. Запас воды в нем определяется расчетом из условия обеспечения работы группы оросителей, расположенных в пределах расчетной секции на одном ярусе в течение 1 мин, но не менее 2 м</w:t>
      </w:r>
      <w:r>
        <w:rPr>
          <w:vertAlign w:val="superscript"/>
        </w:rPr>
        <w:t>3</w:t>
      </w:r>
      <w:r>
        <w:t>.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  <w:lang w:val="en-US"/>
        </w:rPr>
      </w:pPr>
    </w:p>
    <w:p w:rsidR="00FB1A98" w:rsidRDefault="00FE5F68">
      <w:pPr>
        <w:shd w:val="clear" w:color="auto" w:fill="FFFFFF"/>
        <w:ind w:firstLine="283"/>
        <w:jc w:val="center"/>
        <w:rPr>
          <w:b/>
          <w:bCs/>
          <w:szCs w:val="24"/>
        </w:rPr>
      </w:pPr>
      <w:r>
        <w:rPr>
          <w:b/>
          <w:bCs/>
        </w:rPr>
        <w:t>3. ТРЕБОВАНИЯ К АВТОМАТИЧЕСКИМ УСТАНОВКАМ ПОЖАРОТУШЕНИЯ ЗОНЫ ВЫСОТНОГО ХРАНЕНИЯ С ПЕРЕДВИЖНЫМИ СТЕЛЛАЖАМИ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3.1. Автоматическая установка пожаротушения для зоны хранения с передвижными стеллажами должна включать в себя: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устройство автоматического пуска;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автоматический </w:t>
      </w:r>
      <w:proofErr w:type="spellStart"/>
      <w:r>
        <w:t>водопитатель</w:t>
      </w:r>
      <w:proofErr w:type="spellEnd"/>
      <w:r>
        <w:t>;</w:t>
      </w:r>
    </w:p>
    <w:p w:rsidR="00FB1A98" w:rsidRDefault="00FE5F68">
      <w:pPr>
        <w:shd w:val="clear" w:color="auto" w:fill="FFFFFF"/>
        <w:ind w:firstLine="283"/>
        <w:jc w:val="both"/>
      </w:pPr>
      <w:r>
        <w:lastRenderedPageBreak/>
        <w:t>систему распределительных трубопроводов с оросителями (рис. 5).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p w:rsidR="00FB1A98" w:rsidRDefault="005017B6">
      <w:pPr>
        <w:ind w:firstLine="283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2657475" cy="21526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98" w:rsidRDefault="00FB1A98">
      <w:pPr>
        <w:ind w:firstLine="283"/>
        <w:jc w:val="center"/>
        <w:rPr>
          <w:szCs w:val="24"/>
        </w:rPr>
      </w:pP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rPr>
          <w:szCs w:val="16"/>
        </w:rPr>
        <w:t>Рис. 5. Схема компоновки секции АУП в передвижном стеллаже:</w:t>
      </w: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rPr>
          <w:szCs w:val="16"/>
        </w:rPr>
        <w:t>1 - стеллаж; 2 - подводящий трубопровод; 3 - запорно-пусковой клапан; 4 - гибкий трубопровод; 5 - обратный клапан; 6 - распределительный трубопровод; 7 - ороситель типа СН; 8 - линейный датчик-сигнализатор пожара; 9 - соединительная головка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3.2. Автоматический </w:t>
      </w:r>
      <w:proofErr w:type="spellStart"/>
      <w:r>
        <w:t>водопитатель</w:t>
      </w:r>
      <w:proofErr w:type="spellEnd"/>
      <w:r>
        <w:t xml:space="preserve"> должен обеспечивать работу установки в течение 1 мин.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3.3. Распределительные трубопроводы образуют </w:t>
      </w:r>
      <w:proofErr w:type="spellStart"/>
      <w:r>
        <w:t>дренчерную</w:t>
      </w:r>
      <w:proofErr w:type="spellEnd"/>
      <w:r>
        <w:t xml:space="preserve"> </w:t>
      </w:r>
      <w:proofErr w:type="spellStart"/>
      <w:r>
        <w:t>сухотрубную</w:t>
      </w:r>
      <w:proofErr w:type="spellEnd"/>
      <w:r>
        <w:t xml:space="preserve"> сеть, разделенную на секции. Каждая секция с запорно-пусковым клапаном обслуживает один стеллаж.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3.4. Установка пожаротушения должна иметь автоматический и ручной пуск с одновременной выдачей звукового и светового сигналов в помещении с круглосуточным пребыванием людей.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3.5. В качестве оросителей должны использоваться дренчеры ДНо-12 или ДВо-10.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3.6. Горизонтальные ряды оросителей должны располагаться через 2,5 м по высоте стеллажа. Расстояние между оросителями в горизонтальном ряду должно быть не более 2,8 м.</w:t>
      </w:r>
    </w:p>
    <w:p w:rsidR="00FB1A98" w:rsidRDefault="00FE5F68">
      <w:pPr>
        <w:shd w:val="clear" w:color="auto" w:fill="FFFFFF"/>
        <w:ind w:firstLine="283"/>
        <w:jc w:val="both"/>
      </w:pPr>
      <w:r>
        <w:t>Оросители ДНо-12 размещаются в верхнем углу ячейки (рис. 6). Расстояние от оси оросителя до верха хранимых грузов должно быть не менее 0,2 м.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p w:rsidR="00FB1A98" w:rsidRDefault="005017B6">
      <w:pPr>
        <w:ind w:firstLine="283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2409825" cy="2238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98" w:rsidRDefault="00FB1A98">
      <w:pPr>
        <w:ind w:firstLine="283"/>
        <w:jc w:val="center"/>
        <w:rPr>
          <w:szCs w:val="24"/>
        </w:rPr>
      </w:pP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t>Рис. 6. Схема размещения оросителя ДНо-12 внутри стоек стеллажа:</w:t>
      </w:r>
    </w:p>
    <w:p w:rsidR="00FB1A98" w:rsidRDefault="00FE5F68">
      <w:pPr>
        <w:shd w:val="clear" w:color="auto" w:fill="FFFFFF"/>
        <w:ind w:firstLine="283"/>
        <w:jc w:val="center"/>
      </w:pPr>
      <w:r>
        <w:t>1 - стойка стеллажа коробчатого сечения; 2 - распределительный трубопровод АУП;</w:t>
      </w: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t>3 - штуцер; 4 - ороситель ДНо-12; 5 - груз</w:t>
      </w:r>
    </w:p>
    <w:p w:rsidR="00FB1A98" w:rsidRDefault="00FB1A98">
      <w:pPr>
        <w:shd w:val="clear" w:color="auto" w:fill="FFFFFF"/>
        <w:ind w:firstLine="283"/>
        <w:jc w:val="both"/>
        <w:rPr>
          <w:lang w:val="en-US"/>
        </w:rPr>
      </w:pPr>
    </w:p>
    <w:p w:rsidR="00FB1A98" w:rsidRDefault="00FE5F68">
      <w:pPr>
        <w:shd w:val="clear" w:color="auto" w:fill="FFFFFF"/>
        <w:ind w:firstLine="283"/>
        <w:jc w:val="both"/>
      </w:pPr>
      <w:r>
        <w:t>Размещение оросителей ДВо-10 производится согласно п. 2.7 настоящих рекомендаций по схеме, представленной на рис. 7.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3.7. Распределительные трубопроводы каждой секции должны соединяться с подводящим трубопроводом с помощью гибкого шланга, обеспечивающего беспрепятственное движение </w:t>
      </w:r>
      <w:r>
        <w:lastRenderedPageBreak/>
        <w:t>стеллажа. Гибкий шланг не должен иметь перегибов и кручений.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На распределительном трубопроводе каждой секции должен быть предусмотрен ввод для подсоединения пожарного рукава, обеспечивающий расчетный расход и напор воды.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5017B6">
      <w:pPr>
        <w:ind w:firstLine="283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2657475" cy="20859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98" w:rsidRDefault="00FB1A98">
      <w:pPr>
        <w:ind w:firstLine="283"/>
        <w:jc w:val="center"/>
        <w:rPr>
          <w:szCs w:val="24"/>
        </w:rPr>
      </w:pPr>
    </w:p>
    <w:p w:rsidR="00FB1A98" w:rsidRDefault="00FE5F68">
      <w:pPr>
        <w:shd w:val="clear" w:color="auto" w:fill="FFFFFF"/>
        <w:ind w:firstLine="283"/>
        <w:jc w:val="center"/>
      </w:pPr>
      <w:r>
        <w:t xml:space="preserve">Рис. 7. Схема </w:t>
      </w:r>
      <w:proofErr w:type="gramStart"/>
      <w:r>
        <w:t>размещении</w:t>
      </w:r>
      <w:proofErr w:type="gramEnd"/>
      <w:r>
        <w:t xml:space="preserve"> оросителей ДВо-10 во </w:t>
      </w:r>
      <w:proofErr w:type="spellStart"/>
      <w:r>
        <w:t>внутристеллажном</w:t>
      </w:r>
      <w:proofErr w:type="spellEnd"/>
      <w:r>
        <w:t xml:space="preserve"> пространстве передвижного стеллажа:</w:t>
      </w:r>
    </w:p>
    <w:p w:rsidR="00FB1A98" w:rsidRDefault="00FE5F68">
      <w:pPr>
        <w:shd w:val="clear" w:color="auto" w:fill="FFFFFF"/>
        <w:ind w:firstLine="283"/>
        <w:jc w:val="center"/>
      </w:pPr>
      <w:r>
        <w:t>1 - подводящий трубопровод; 2 - распределительный трубопровод; 3 - ороситель ДВо-10;</w:t>
      </w: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t>4 - стеллаж; 5 - обратный клапан; 6 - соединительная головка</w:t>
      </w:r>
    </w:p>
    <w:p w:rsidR="00FB1A98" w:rsidRDefault="00FB1A98">
      <w:pPr>
        <w:shd w:val="clear" w:color="auto" w:fill="FFFFFF"/>
        <w:ind w:firstLine="283"/>
        <w:jc w:val="both"/>
        <w:rPr>
          <w:lang w:val="en-US"/>
        </w:rPr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3.8. Общий расход воды на пожаротушение определяется по формуле </w:t>
      </w:r>
      <w:r>
        <w:rPr>
          <w:i/>
          <w:iCs/>
          <w:lang w:val="en-US"/>
        </w:rPr>
        <w:t>Q</w:t>
      </w:r>
      <w:r>
        <w:t xml:space="preserve"> = </w:t>
      </w:r>
      <w:r>
        <w:rPr>
          <w:i/>
          <w:iCs/>
          <w:lang w:val="en-US"/>
        </w:rPr>
        <w:t>Q</w:t>
      </w:r>
      <w:proofErr w:type="spellStart"/>
      <w:r>
        <w:rPr>
          <w:i/>
          <w:iCs/>
          <w:vertAlign w:val="subscript"/>
        </w:rPr>
        <w:t>д</w:t>
      </w:r>
      <w:proofErr w:type="gramStart"/>
      <w:r>
        <w:rPr>
          <w:i/>
          <w:iCs/>
          <w:vertAlign w:val="subscript"/>
        </w:rPr>
        <w:t>.у</w:t>
      </w:r>
      <w:proofErr w:type="spellEnd"/>
      <w:proofErr w:type="gramEnd"/>
      <w:r>
        <w:t xml:space="preserve"> + </w:t>
      </w:r>
      <w:r>
        <w:rPr>
          <w:i/>
          <w:iCs/>
          <w:lang w:val="en-US"/>
        </w:rPr>
        <w:t>Q</w:t>
      </w:r>
      <w:proofErr w:type="spellStart"/>
      <w:r>
        <w:rPr>
          <w:i/>
          <w:iCs/>
          <w:vertAlign w:val="subscript"/>
        </w:rPr>
        <w:t>с.у</w:t>
      </w:r>
      <w:proofErr w:type="spellEnd"/>
      <w:r>
        <w:t xml:space="preserve"> + </w:t>
      </w:r>
      <w:r>
        <w:rPr>
          <w:i/>
          <w:iCs/>
          <w:lang w:val="en-US"/>
        </w:rPr>
        <w:t>Q</w:t>
      </w:r>
      <w:proofErr w:type="spellStart"/>
      <w:r>
        <w:rPr>
          <w:i/>
          <w:iCs/>
          <w:vertAlign w:val="subscript"/>
        </w:rPr>
        <w:t>вн.вод</w:t>
      </w:r>
      <w:proofErr w:type="spellEnd"/>
      <w:r>
        <w:t xml:space="preserve">, где </w:t>
      </w:r>
      <w:r>
        <w:rPr>
          <w:i/>
          <w:iCs/>
          <w:lang w:val="en-US"/>
        </w:rPr>
        <w:t>Q</w:t>
      </w:r>
      <w:proofErr w:type="spellStart"/>
      <w:r>
        <w:rPr>
          <w:i/>
          <w:iCs/>
          <w:vertAlign w:val="subscript"/>
        </w:rPr>
        <w:t>д.у</w:t>
      </w:r>
      <w:proofErr w:type="spellEnd"/>
      <w:r>
        <w:t xml:space="preserve"> - расход воды для </w:t>
      </w:r>
      <w:proofErr w:type="spellStart"/>
      <w:r>
        <w:t>дренчерной</w:t>
      </w:r>
      <w:proofErr w:type="spellEnd"/>
      <w:r>
        <w:t xml:space="preserve"> установки в передвижных стеллажах, л·с</w:t>
      </w:r>
      <w:r>
        <w:rPr>
          <w:vertAlign w:val="superscript"/>
        </w:rPr>
        <w:t>-1</w:t>
      </w:r>
      <w:r>
        <w:t xml:space="preserve">; </w:t>
      </w:r>
      <w:r>
        <w:rPr>
          <w:i/>
          <w:iCs/>
          <w:lang w:val="en-US"/>
        </w:rPr>
        <w:t>Q</w:t>
      </w:r>
      <w:proofErr w:type="spellStart"/>
      <w:r>
        <w:rPr>
          <w:i/>
          <w:iCs/>
          <w:vertAlign w:val="subscript"/>
        </w:rPr>
        <w:t>с.у</w:t>
      </w:r>
      <w:proofErr w:type="spellEnd"/>
      <w:r>
        <w:t xml:space="preserve"> - расход воды для </w:t>
      </w:r>
      <w:proofErr w:type="spellStart"/>
      <w:r>
        <w:t>спринклерной</w:t>
      </w:r>
      <w:proofErr w:type="spellEnd"/>
      <w:r>
        <w:t xml:space="preserve"> установки под покрытием, л·с</w:t>
      </w:r>
      <w:r>
        <w:rPr>
          <w:vertAlign w:val="superscript"/>
        </w:rPr>
        <w:t>-1</w:t>
      </w:r>
      <w:r>
        <w:t xml:space="preserve">; </w:t>
      </w:r>
      <w:r>
        <w:rPr>
          <w:i/>
          <w:iCs/>
          <w:lang w:val="en-US"/>
        </w:rPr>
        <w:t>Q</w:t>
      </w:r>
      <w:proofErr w:type="spellStart"/>
      <w:r>
        <w:rPr>
          <w:i/>
          <w:iCs/>
          <w:vertAlign w:val="subscript"/>
        </w:rPr>
        <w:t>вн.вод</w:t>
      </w:r>
      <w:proofErr w:type="spellEnd"/>
      <w:r>
        <w:t xml:space="preserve"> - рас</w:t>
      </w:r>
      <w:r>
        <w:rPr>
          <w:lang w:val="en-US"/>
        </w:rPr>
        <w:t>x</w:t>
      </w:r>
      <w:r>
        <w:t>од воды для внутреннего противопожарного водопровода, л·с</w:t>
      </w:r>
      <w:r>
        <w:rPr>
          <w:vertAlign w:val="superscript"/>
        </w:rPr>
        <w:t>-1</w:t>
      </w:r>
      <w:r>
        <w:t>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3.9. Расход воды на пожаротушение в передвижных стеллажах определяется гидравлическим расчетом при условии одновременной работы трех секций.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3.10. Минимальный рабочий напор у самого удаленного оросителя (ДНо-12 или ДВо-10) должен быть не менее 0,1 МПа.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3.11. Расход воды для </w:t>
      </w:r>
      <w:proofErr w:type="spellStart"/>
      <w:r>
        <w:t>спринклерной</w:t>
      </w:r>
      <w:proofErr w:type="spellEnd"/>
      <w:r>
        <w:t xml:space="preserve"> установки, размещаемой под покрытием, определяется в соответствии с п. 2.4 настоящих рекомендаций.</w:t>
      </w:r>
    </w:p>
    <w:p w:rsidR="00FB1A98" w:rsidRDefault="00FE5F68">
      <w:pPr>
        <w:shd w:val="clear" w:color="auto" w:fill="FFFFFF"/>
        <w:ind w:firstLine="283"/>
        <w:jc w:val="both"/>
      </w:pPr>
      <w:r>
        <w:t>3.12. Устройство включения автоматической установки пожаротушения (рис. 8, 9, 10) состоит из сигнально-пускового прибора, линейного датчика-сигнализатора пожара (ЛДСП), промежуточного реле пуска АУП, линии связи датчика с прибором.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5017B6">
      <w:pPr>
        <w:ind w:firstLine="283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3124200" cy="2028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98" w:rsidRDefault="00FB1A98">
      <w:pPr>
        <w:ind w:firstLine="283"/>
        <w:jc w:val="center"/>
        <w:rPr>
          <w:szCs w:val="24"/>
        </w:rPr>
      </w:pP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t>Рис. 8. Схема пуска АУП с использованием устройства ППКУ-1М и линейного датчика-сигнализатора пожара:</w:t>
      </w: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t>А - вариант с одиночным датчиком; Б - вариант с двойным датчиком;</w:t>
      </w:r>
    </w:p>
    <w:p w:rsidR="00FB1A98" w:rsidRDefault="00FE5F68">
      <w:pPr>
        <w:shd w:val="clear" w:color="auto" w:fill="FFFFFF"/>
        <w:ind w:firstLine="283"/>
        <w:jc w:val="center"/>
      </w:pPr>
      <w:r>
        <w:t>1 - устройство ППКУ-1М (ППКУ-1М-01); 2 - линейный датчик-сигнализатор пожара;</w:t>
      </w:r>
    </w:p>
    <w:p w:rsidR="00FB1A98" w:rsidRDefault="00FE5F68">
      <w:pPr>
        <w:shd w:val="clear" w:color="auto" w:fill="FFFFFF"/>
        <w:ind w:firstLine="283"/>
        <w:jc w:val="center"/>
      </w:pPr>
      <w:r>
        <w:t>3 - промежуточное реле пуска АУП; 4 – линия связи датчика с прибором;</w:t>
      </w: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t>5 - исполнительный элемент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p w:rsidR="00FB1A98" w:rsidRDefault="005017B6">
      <w:pPr>
        <w:ind w:firstLine="283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3181350" cy="2790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98" w:rsidRDefault="00FB1A98">
      <w:pPr>
        <w:shd w:val="clear" w:color="auto" w:fill="FFFFFF"/>
        <w:ind w:firstLine="283"/>
        <w:jc w:val="center"/>
      </w:pPr>
    </w:p>
    <w:p w:rsidR="00FB1A98" w:rsidRDefault="00FE5F68">
      <w:pPr>
        <w:shd w:val="clear" w:color="auto" w:fill="FFFFFF"/>
        <w:ind w:firstLine="283"/>
        <w:jc w:val="center"/>
      </w:pPr>
      <w:r>
        <w:t>Рис. 9. Схема пуска АУП с использованием пульта пожарной сигнализации ППС-3 и линейного датчика-сигнализатора пожара:</w:t>
      </w:r>
    </w:p>
    <w:p w:rsidR="00FB1A98" w:rsidRDefault="00FE5F68">
      <w:pPr>
        <w:shd w:val="clear" w:color="auto" w:fill="FFFFFF"/>
        <w:ind w:firstLine="283"/>
        <w:jc w:val="center"/>
      </w:pPr>
      <w:r>
        <w:t>А - вариант с одиночным датчиком; Б - вариант с двойным датчиком;</w:t>
      </w:r>
    </w:p>
    <w:p w:rsidR="00FB1A98" w:rsidRDefault="00FE5F68">
      <w:pPr>
        <w:shd w:val="clear" w:color="auto" w:fill="FFFFFF"/>
        <w:ind w:firstLine="283"/>
        <w:jc w:val="center"/>
      </w:pPr>
      <w:r>
        <w:t>1 - пульт пожарной сигнализации ППС-3; 2 - линейный датчик-сигнализатор пожара;</w:t>
      </w: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t>3 - промежуточное реле пуска АУП первого и второго луча; 4 - линия связи датчика с прибором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5017B6">
      <w:pPr>
        <w:ind w:firstLine="283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2847975" cy="37909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98" w:rsidRDefault="00FB1A98">
      <w:pPr>
        <w:shd w:val="clear" w:color="auto" w:fill="FFFFFF"/>
        <w:ind w:firstLine="283"/>
        <w:jc w:val="center"/>
      </w:pPr>
    </w:p>
    <w:p w:rsidR="00FB1A98" w:rsidRDefault="00FE5F68">
      <w:pPr>
        <w:shd w:val="clear" w:color="auto" w:fill="FFFFFF"/>
        <w:ind w:firstLine="283"/>
        <w:jc w:val="center"/>
      </w:pPr>
      <w:r>
        <w:t>Рис. 10. Схема пуска АУП с использованием прибора сигнально-пускового "Сигнал-42" и линейного датчика-сигнализатора пожара:</w:t>
      </w:r>
    </w:p>
    <w:p w:rsidR="00FB1A98" w:rsidRDefault="00FE5F68">
      <w:pPr>
        <w:shd w:val="clear" w:color="auto" w:fill="FFFFFF"/>
        <w:ind w:firstLine="283"/>
        <w:jc w:val="center"/>
      </w:pPr>
      <w:r>
        <w:t>А - вариант с одиночным датчиком в шлейфе; Б - вариант с двойным датчиком в шлейфе;</w:t>
      </w:r>
    </w:p>
    <w:p w:rsidR="00FB1A98" w:rsidRDefault="00FE5F68">
      <w:pPr>
        <w:shd w:val="clear" w:color="auto" w:fill="FFFFFF"/>
        <w:ind w:firstLine="283"/>
        <w:jc w:val="center"/>
      </w:pPr>
      <w:r>
        <w:t>1 - прибор сигнально-пусковой "Сигнал-42"; 2 - линейный датчик-сигнализатор пожара;</w:t>
      </w: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t>3 - промежуточное реле пуска АУП первого и второго луча; 4 - линия связи датчика с прибором</w:t>
      </w:r>
    </w:p>
    <w:p w:rsidR="00FB1A98" w:rsidRDefault="00FB1A98">
      <w:pPr>
        <w:shd w:val="clear" w:color="auto" w:fill="FFFFFF"/>
        <w:ind w:firstLine="283"/>
        <w:jc w:val="both"/>
        <w:rPr>
          <w:lang w:val="en-US"/>
        </w:rPr>
      </w:pPr>
    </w:p>
    <w:p w:rsidR="00FB1A98" w:rsidRDefault="00FE5F68">
      <w:pPr>
        <w:shd w:val="clear" w:color="auto" w:fill="FFFFFF"/>
        <w:ind w:firstLine="283"/>
        <w:jc w:val="both"/>
      </w:pPr>
      <w:r>
        <w:t xml:space="preserve">3.13. </w:t>
      </w:r>
      <w:proofErr w:type="gramStart"/>
      <w:r>
        <w:t>Контроль за</w:t>
      </w:r>
      <w:proofErr w:type="gramEnd"/>
      <w:r>
        <w:t xml:space="preserve"> исправностью линии связи сигнально-пускового прибора с датчиком-сигнализатором пожара, а также контроль возможного обрыва проводов ЛДСП осуществляется автоматически с помощью соответствующих типов промышленных сигнально-пусковых приборов, используемых в устройстве, а также соответствующих диодно-резисторных контрольных элементов, размещаемых в конце линейного датчика сигнализатора.</w:t>
      </w:r>
    </w:p>
    <w:p w:rsidR="00FB1A98" w:rsidRDefault="00FE5F68">
      <w:pPr>
        <w:shd w:val="clear" w:color="auto" w:fill="FFFFFF"/>
        <w:ind w:firstLine="283"/>
        <w:jc w:val="both"/>
      </w:pPr>
      <w:r>
        <w:t>3.14. Сопротивление линии связи линейного датчика с сигнально-пусковым прибором (участок электрической цепи от прибора до начала датчика-сигнализатора) не должно превосходить величин, указанных в табл. 3.</w:t>
      </w:r>
    </w:p>
    <w:p w:rsidR="00FB1A98" w:rsidRDefault="00FB1A98">
      <w:pPr>
        <w:shd w:val="clear" w:color="auto" w:fill="FFFFFF"/>
        <w:ind w:firstLine="283"/>
        <w:jc w:val="both"/>
        <w:rPr>
          <w:lang w:val="en-US"/>
        </w:rPr>
      </w:pPr>
    </w:p>
    <w:p w:rsidR="00FB1A98" w:rsidRDefault="00FE5F68">
      <w:pPr>
        <w:shd w:val="clear" w:color="auto" w:fill="FFFFFF"/>
        <w:ind w:firstLine="283"/>
        <w:jc w:val="right"/>
      </w:pPr>
      <w:r>
        <w:t>Таблица 3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center"/>
        <w:rPr>
          <w:b/>
          <w:bCs/>
        </w:rPr>
      </w:pPr>
      <w:r>
        <w:rPr>
          <w:b/>
          <w:bCs/>
        </w:rPr>
        <w:t>Сопротивление линий связи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9"/>
        <w:gridCol w:w="5832"/>
      </w:tblGrid>
      <w:tr w:rsidR="00FB1A98">
        <w:trPr>
          <w:trHeight w:val="23"/>
        </w:trPr>
        <w:tc>
          <w:tcPr>
            <w:tcW w:w="18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Тип прибора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Максимально допустимое сопротивление линии связи, Ом</w:t>
            </w:r>
          </w:p>
        </w:tc>
      </w:tr>
      <w:tr w:rsidR="00FB1A98">
        <w:trPr>
          <w:trHeight w:val="23"/>
        </w:trPr>
        <w:tc>
          <w:tcPr>
            <w:tcW w:w="187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ППКУ-1М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20</w:t>
            </w:r>
          </w:p>
        </w:tc>
      </w:tr>
      <w:tr w:rsidR="00FB1A98">
        <w:trPr>
          <w:trHeight w:val="23"/>
        </w:trPr>
        <w:tc>
          <w:tcPr>
            <w:tcW w:w="187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ППС-3</w:t>
            </w:r>
          </w:p>
        </w:tc>
        <w:tc>
          <w:tcPr>
            <w:tcW w:w="430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500</w:t>
            </w:r>
          </w:p>
        </w:tc>
      </w:tr>
      <w:tr w:rsidR="00FB1A98">
        <w:trPr>
          <w:trHeight w:val="23"/>
        </w:trPr>
        <w:tc>
          <w:tcPr>
            <w:tcW w:w="187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Сигнал-42</w:t>
            </w:r>
          </w:p>
        </w:tc>
        <w:tc>
          <w:tcPr>
            <w:tcW w:w="430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100</w:t>
            </w:r>
          </w:p>
        </w:tc>
      </w:tr>
    </w:tbl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3.15. В качестве линейного датчика-сигнализатора пожара применяется скрученный провод марки П247М (ТУ 16-505.221-78), включаемый в сигнальную линию соответствующего сигнально-пускового прибора.</w:t>
      </w:r>
    </w:p>
    <w:p w:rsidR="00FB1A98" w:rsidRDefault="00FE5F68">
      <w:pPr>
        <w:shd w:val="clear" w:color="auto" w:fill="FFFFFF"/>
        <w:ind w:firstLine="283"/>
        <w:jc w:val="both"/>
        <w:rPr>
          <w:lang w:val="en-US"/>
        </w:rPr>
      </w:pPr>
      <w:r>
        <w:t>3.16. В зависимости от требуемой (допустимой) степени защиты от ложного (случайного) запуска установки автоматического пожаротушения рекомендуется применять одиночное или парное (дублированное) включение датчиков-сигнализаторов. Дублированное включение датчиков позволяет значительно повысить достоверность сигнала о пожаре за счет формирования сигнала на запуск установки пожаротушения только при одновременном замыкании жил в каждой паре проводов датчика. В то же время указанные в табл. 4 параметры резисторов в сочетании с полупроводниковыми диодами обеспечивают постоянный контроль обрыва любого из проводов.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  <w:lang w:val="en-US"/>
        </w:rPr>
      </w:pPr>
    </w:p>
    <w:p w:rsidR="00FB1A98" w:rsidRDefault="00FE5F68">
      <w:pPr>
        <w:shd w:val="clear" w:color="auto" w:fill="FFFFFF"/>
        <w:ind w:firstLine="283"/>
        <w:jc w:val="right"/>
      </w:pPr>
      <w:r>
        <w:t>Таблица 4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center"/>
        <w:rPr>
          <w:b/>
          <w:bCs/>
        </w:rPr>
      </w:pPr>
      <w:r>
        <w:rPr>
          <w:b/>
          <w:bCs/>
        </w:rPr>
        <w:t>Параметры резисторов и полупроводниковых диодов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tbl>
      <w:tblPr>
        <w:tblW w:w="4838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17"/>
        <w:gridCol w:w="4083"/>
      </w:tblGrid>
      <w:tr w:rsidR="00FB1A98">
        <w:trPr>
          <w:trHeight w:val="23"/>
        </w:trPr>
        <w:tc>
          <w:tcPr>
            <w:tcW w:w="40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Наименование сигнально-пускового прибора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Перечень элементов к схеме пуска АУП</w:t>
            </w:r>
          </w:p>
        </w:tc>
      </w:tr>
      <w:tr w:rsidR="00FB1A98">
        <w:trPr>
          <w:trHeight w:val="23"/>
        </w:trPr>
        <w:tc>
          <w:tcPr>
            <w:tcW w:w="40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Сигнал-42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 xml:space="preserve">2-резистор МЛТ-0,25-3,3 кОм </w:t>
            </w:r>
            <w:r>
              <w:sym w:font="Symbol" w:char="F0B1"/>
            </w:r>
            <w:r>
              <w:t>5 %</w:t>
            </w:r>
          </w:p>
        </w:tc>
      </w:tr>
      <w:tr w:rsidR="00FB1A98">
        <w:trPr>
          <w:trHeight w:val="23"/>
        </w:trPr>
        <w:tc>
          <w:tcPr>
            <w:tcW w:w="4017" w:type="dxa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</w:tcPr>
          <w:p w:rsidR="00FB1A98" w:rsidRDefault="00FB1A98">
            <w:pPr>
              <w:shd w:val="clear" w:color="auto" w:fill="FFFFFF"/>
              <w:jc w:val="both"/>
              <w:rPr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 xml:space="preserve">1-резистор МЛТ-0,25-820 Ом </w:t>
            </w:r>
            <w:r>
              <w:sym w:font="Symbol" w:char="F0B1"/>
            </w:r>
            <w:r>
              <w:t>5 %</w:t>
            </w:r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B1A98">
            <w:pPr>
              <w:shd w:val="clear" w:color="auto" w:fill="FFFFFF"/>
              <w:jc w:val="both"/>
              <w:rPr>
                <w:szCs w:val="24"/>
              </w:rPr>
            </w:pPr>
          </w:p>
        </w:tc>
        <w:tc>
          <w:tcPr>
            <w:tcW w:w="4083" w:type="dxa"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 xml:space="preserve">3-резистор МЛТ-0,25-2,4 кОм </w:t>
            </w:r>
            <w:r>
              <w:sym w:font="Symbol" w:char="F0B1"/>
            </w:r>
            <w:r>
              <w:t>5 %</w:t>
            </w:r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B1A98">
            <w:pPr>
              <w:jc w:val="both"/>
              <w:rPr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Д2 - диоды полупроводниковые КД 521</w:t>
            </w:r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B1A98">
            <w:pPr>
              <w:jc w:val="both"/>
              <w:rPr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 xml:space="preserve">5-резистор МЛТ-0,25-3,3 кОм </w:t>
            </w:r>
            <w:r>
              <w:sym w:font="Symbol" w:char="F0B1"/>
            </w:r>
            <w:r>
              <w:t>5 %</w:t>
            </w:r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B1A98">
            <w:pPr>
              <w:jc w:val="both"/>
              <w:rPr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 xml:space="preserve">4,6-резистор МЛТ-0,25-1,5 кОм </w:t>
            </w:r>
            <w:r>
              <w:sym w:font="Symbol" w:char="F0B1"/>
            </w:r>
            <w:r>
              <w:t>5 %</w:t>
            </w:r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B1A98">
            <w:pPr>
              <w:jc w:val="both"/>
              <w:rPr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 xml:space="preserve">7,8-резистор МЛТ-0,25-5,1 кОм </w:t>
            </w:r>
            <w:r>
              <w:sym w:font="Symbol" w:char="F0B1"/>
            </w:r>
            <w:r>
              <w:t>5 %</w:t>
            </w:r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A98" w:rsidRDefault="00FB1A98">
            <w:pPr>
              <w:jc w:val="both"/>
              <w:rPr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Д3-Д5 - диоды полупроводниковые КД 521</w:t>
            </w:r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ППС - 3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 xml:space="preserve">1-4-резисторы МЛТ-0,25-4,3 кОм </w:t>
            </w:r>
            <w:r>
              <w:sym w:font="Symbol" w:char="F0B1"/>
            </w:r>
            <w:r>
              <w:t>5 %</w:t>
            </w:r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A98" w:rsidRDefault="00FB1A98">
            <w:pPr>
              <w:jc w:val="both"/>
              <w:rPr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Д1-Д5 - диоды КД 521</w:t>
            </w:r>
            <w:proofErr w:type="gramStart"/>
            <w:r>
              <w:t xml:space="preserve"> А</w:t>
            </w:r>
            <w:proofErr w:type="gramEnd"/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ППКУ - 1М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 xml:space="preserve">1-резистор МЛТ-0,25-910 Ом </w:t>
            </w:r>
            <w:r>
              <w:sym w:font="Symbol" w:char="F0B1"/>
            </w:r>
            <w:r>
              <w:t>5 %</w:t>
            </w:r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B1A98">
            <w:pPr>
              <w:jc w:val="both"/>
              <w:rPr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 xml:space="preserve">2-резистор МЛТ-0,25-5,1 кОм </w:t>
            </w:r>
            <w:r>
              <w:sym w:font="Symbol" w:char="F0B1"/>
            </w:r>
            <w:r>
              <w:t>5 %</w:t>
            </w:r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B1A98">
            <w:pPr>
              <w:jc w:val="both"/>
              <w:rPr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 xml:space="preserve">3,4-резистор МЛТ-0,25-1,8 кОм </w:t>
            </w:r>
            <w:r>
              <w:sym w:font="Symbol" w:char="F0B1"/>
            </w:r>
            <w:r>
              <w:t>5 %</w:t>
            </w:r>
          </w:p>
        </w:tc>
      </w:tr>
      <w:tr w:rsidR="00FB1A98">
        <w:trPr>
          <w:cantSplit/>
          <w:trHeight w:val="23"/>
        </w:trPr>
        <w:tc>
          <w:tcPr>
            <w:tcW w:w="40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B1A98">
            <w:pPr>
              <w:jc w:val="both"/>
              <w:rPr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 xml:space="preserve">5,6-резистор МЛТ-0,25-10 кОм </w:t>
            </w:r>
            <w:r>
              <w:sym w:font="Symbol" w:char="F0B1"/>
            </w:r>
            <w:r>
              <w:t>5 %</w:t>
            </w:r>
          </w:p>
        </w:tc>
      </w:tr>
    </w:tbl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</w:pPr>
      <w:r>
        <w:t>3.17. Линейный датчик-сигнализатор пожара должен прокладываться открыто в верхней части каждого яруса стеллажа в виде петель (рис. 11) таким образом, чтобы исключалась возможность его повреждения при погрузке-разгрузке. Линейный датчик-сигнализатор пожара не должен примыкать к металлическим поверхностям.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p w:rsidR="00FB1A98" w:rsidRDefault="005017B6">
      <w:pPr>
        <w:ind w:firstLine="283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3429000" cy="1905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98" w:rsidRDefault="00FB1A98">
      <w:pPr>
        <w:ind w:firstLine="283"/>
        <w:jc w:val="center"/>
        <w:rPr>
          <w:szCs w:val="24"/>
        </w:rPr>
      </w:pPr>
    </w:p>
    <w:p w:rsidR="00FB1A98" w:rsidRDefault="00FE5F68">
      <w:pPr>
        <w:shd w:val="clear" w:color="auto" w:fill="FFFFFF"/>
        <w:ind w:firstLine="283"/>
        <w:jc w:val="center"/>
        <w:rPr>
          <w:szCs w:val="24"/>
        </w:rPr>
      </w:pPr>
      <w:r>
        <w:rPr>
          <w:szCs w:val="16"/>
        </w:rPr>
        <w:t>Рис. 11. Схема прокладки линейного датчика-сигнализатора пожара в ячейках стеллажа:</w:t>
      </w:r>
    </w:p>
    <w:p w:rsidR="00FB1A98" w:rsidRDefault="00FE5F68">
      <w:pPr>
        <w:shd w:val="clear" w:color="auto" w:fill="FFFFFF"/>
        <w:ind w:firstLine="283"/>
        <w:jc w:val="center"/>
        <w:rPr>
          <w:szCs w:val="16"/>
        </w:rPr>
      </w:pPr>
      <w:r>
        <w:rPr>
          <w:szCs w:val="16"/>
        </w:rPr>
        <w:t>А - в спаренном стеллаже; Б - в одинарном стеллаже;</w:t>
      </w:r>
    </w:p>
    <w:p w:rsidR="00FB1A98" w:rsidRDefault="00FE5F68">
      <w:pPr>
        <w:shd w:val="clear" w:color="auto" w:fill="FFFFFF"/>
        <w:ind w:firstLine="283"/>
        <w:jc w:val="center"/>
        <w:rPr>
          <w:szCs w:val="16"/>
        </w:rPr>
      </w:pPr>
      <w:r>
        <w:rPr>
          <w:szCs w:val="16"/>
        </w:rPr>
        <w:t>1 - стеллаж; 2 - линейный датчик-сигнализатор пожара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p w:rsidR="00FB1A98" w:rsidRDefault="00FE5F68">
      <w:pPr>
        <w:shd w:val="clear" w:color="auto" w:fill="FFFFFF"/>
        <w:ind w:firstLine="283"/>
        <w:jc w:val="center"/>
        <w:rPr>
          <w:b/>
          <w:bCs/>
          <w:szCs w:val="24"/>
        </w:rPr>
      </w:pPr>
      <w:r>
        <w:rPr>
          <w:b/>
          <w:bCs/>
        </w:rPr>
        <w:t>4. ТРЕБОВАНИЯ К ПЛАНИРОВКЕ СКЛАДОВ И СТЕЛЛАЖЕЙ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4.1. В стеллажах должны быть предусмотрены поперечные проходы высотой не менее 2 м и шириной не менее 1,5 м с выходом из помещения хранения через каждые 40 м. Проходы необходимо отделять от конструкций стеллажей противопожарными перегородками 1-го типа. Проходы в стеллажах должны совпадать с выходами из помещения хранения.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4.2. Горизонтальные экраны в стационарных стеллажах размещаются с шагом по высоте не более 4,5 м. Экраны должны перекрывать все горизонтальное сечение стеллажей, в том числе и зазоры между спаренными стеллажами. Расстояние до первого экрана следует принимать от уровня пола.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4.3. Экраны необходимо изготавливать из несгораемого материала. Примерный перечень материалов для изготовления экранов приведен в табл. 5.</w:t>
      </w:r>
    </w:p>
    <w:p w:rsidR="00FB1A98" w:rsidRDefault="00FB1A98">
      <w:pPr>
        <w:shd w:val="clear" w:color="auto" w:fill="FFFFFF"/>
        <w:ind w:firstLine="283"/>
        <w:jc w:val="both"/>
        <w:rPr>
          <w:lang w:val="en-US"/>
        </w:rPr>
      </w:pPr>
    </w:p>
    <w:p w:rsidR="00FB1A98" w:rsidRDefault="00FE5F68">
      <w:pPr>
        <w:shd w:val="clear" w:color="auto" w:fill="FFFFFF"/>
        <w:ind w:firstLine="283"/>
        <w:jc w:val="right"/>
      </w:pPr>
      <w:r>
        <w:t>Таблица 5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center"/>
        <w:rPr>
          <w:b/>
          <w:bCs/>
        </w:rPr>
      </w:pPr>
      <w:r>
        <w:rPr>
          <w:b/>
          <w:bCs/>
        </w:rPr>
        <w:t>Материалы для изготовления экранов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16"/>
        <w:gridCol w:w="2655"/>
      </w:tblGrid>
      <w:tr w:rsidR="00FB1A98">
        <w:trPr>
          <w:trHeight w:val="23"/>
        </w:trPr>
        <w:tc>
          <w:tcPr>
            <w:tcW w:w="45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Наименование материала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 xml:space="preserve">Толщина, не менее, </w:t>
            </w:r>
            <w:proofErr w:type="gramStart"/>
            <w:r>
              <w:t>мм</w:t>
            </w:r>
            <w:proofErr w:type="gramEnd"/>
          </w:p>
        </w:tc>
      </w:tr>
      <w:tr w:rsidR="00FB1A98">
        <w:trPr>
          <w:trHeight w:val="23"/>
        </w:trPr>
        <w:tc>
          <w:tcPr>
            <w:tcW w:w="459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Сталь листовая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0,6</w:t>
            </w:r>
          </w:p>
        </w:tc>
      </w:tr>
      <w:tr w:rsidR="00FB1A98">
        <w:trPr>
          <w:trHeight w:val="23"/>
        </w:trPr>
        <w:tc>
          <w:tcPr>
            <w:tcW w:w="45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proofErr w:type="spellStart"/>
            <w:r>
              <w:t>Цементостружечная</w:t>
            </w:r>
            <w:proofErr w:type="spellEnd"/>
            <w:r>
              <w:t xml:space="preserve"> плита (ТУ-66-164-83)</w:t>
            </w:r>
          </w:p>
        </w:tc>
        <w:tc>
          <w:tcPr>
            <w:tcW w:w="213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10</w:t>
            </w:r>
          </w:p>
        </w:tc>
      </w:tr>
      <w:tr w:rsidR="00FB1A98">
        <w:trPr>
          <w:trHeight w:val="23"/>
        </w:trPr>
        <w:tc>
          <w:tcPr>
            <w:tcW w:w="45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both"/>
              <w:rPr>
                <w:szCs w:val="24"/>
              </w:rPr>
            </w:pPr>
            <w:r>
              <w:t>Листы асбестоцементные плоские (ГОСТ 18124-75)</w:t>
            </w:r>
          </w:p>
        </w:tc>
        <w:tc>
          <w:tcPr>
            <w:tcW w:w="213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B1A98" w:rsidRDefault="00FE5F68">
            <w:pPr>
              <w:shd w:val="clear" w:color="auto" w:fill="FFFFFF"/>
              <w:jc w:val="center"/>
              <w:rPr>
                <w:szCs w:val="24"/>
              </w:rPr>
            </w:pPr>
            <w:r>
              <w:t>10</w:t>
            </w:r>
          </w:p>
        </w:tc>
      </w:tr>
    </w:tbl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4.4. Экраны и днища ящичной тары должны иметь отверстия диаметром 10 мм, расположенные равномерно с шагом 150 мм. Отверстия не делаются в днищах ящичной тары, имеющей гофрированную поверхность, зиги на которой размещены равномерно, а их количество на одной из сторон, в случае продольного расположения, не менее 3, поперечного - 4.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4.5. Грузы в стеллажах не должны выходить за их пределы.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4.6. Длина одного передвижного стеллажа не должна превышать 9 м.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4.7. Передвижные стеллажи группируются в блоки длиной не более 40 м. Между блоками передвижных стеллажей должны быть проходы шириной не менее 1,5 м.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4.8. При срабатывании установки пожаротушения для образования пожарных проходов необходимо предусматривать автоматическую раздвижку стеллажей от горящего на расстояние не менее 0,8 м.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4.9. Необходимо предусмотреть возможность раздвижки передвижных стеллажей с помощью лебедки вручную с целью образования проходов для пожарных.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4.10. Гибкий шланг должен быть защищен от механических повреждений при раздвижке стеллажей, погрузочно-разгрузочных операциях и иметь покрытие из несгораемого материала.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4.11. Запорные клапаны должны иметь свободный доступ для обслуживания и ручного пуска.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4.12. Спринклерные оросители должны иметь защиту от механических повреждений при погрузочно-разгрузочных операциях.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lastRenderedPageBreak/>
        <w:t>4.13. Экраны и распределительные трубопроводы автоматических установок пожаротушения не должны препятствовать погрузочно-разгрузочным операциям.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4.14. Трубчатые несущие конструкции стеллажей могут быть использованы для транспортировки огнетушащего вещества. При этом они должны обладать достаточной прочностью, пропускной способностью и герметичностью.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4.15. Высотные стеллажные склады, сблокированные с производственным корпусом, следует размещать в одноэтажном здании и отделять от цеха и других помещений противопожарными стенами 1-го типа.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4.16. Если склад соединен с производственным корпусом с категорией производства</w:t>
      </w:r>
      <w:proofErr w:type="gramStart"/>
      <w:r>
        <w:t xml:space="preserve"> В</w:t>
      </w:r>
      <w:proofErr w:type="gramEnd"/>
      <w:r>
        <w:t xml:space="preserve">, Г и Д технологическими проемами, то в них следует предусматривать </w:t>
      </w:r>
      <w:proofErr w:type="spellStart"/>
      <w:r>
        <w:t>дренчерную</w:t>
      </w:r>
      <w:proofErr w:type="spellEnd"/>
      <w:r>
        <w:t xml:space="preserve"> завесу, если - тамбуром, то </w:t>
      </w:r>
      <w:proofErr w:type="spellStart"/>
      <w:r>
        <w:t>спринклерную</w:t>
      </w:r>
      <w:proofErr w:type="spellEnd"/>
      <w:r>
        <w:t xml:space="preserve"> установку. Размеры тамбура и расход воды определяются по п. 2.12 СНиП /10/.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4.17. По требованиям технологии хранения грузов допускается экспедицию, участки приемки, сортировки и комплектации размещать непосредственно в складских помещениях.</w:t>
      </w:r>
    </w:p>
    <w:p w:rsidR="00FB1A98" w:rsidRDefault="00FE5F68">
      <w:pPr>
        <w:shd w:val="clear" w:color="auto" w:fill="FFFFFF"/>
        <w:ind w:firstLine="283"/>
        <w:jc w:val="both"/>
      </w:pPr>
      <w:r>
        <w:t>4.18. Стеллажи, размещенные непосредственно в цехах и предназначенные для хранения грузов, необходимых для обеспечения непрерывного технологического процесса, следует отделять от других помещений цеха несгораемыми противопожарными стенами и перекрытиями 1-го типа.</w:t>
      </w: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p w:rsidR="00FB1A98" w:rsidRDefault="00FB1A98">
      <w:pPr>
        <w:shd w:val="clear" w:color="auto" w:fill="FFFFFF"/>
        <w:ind w:firstLine="283"/>
        <w:jc w:val="both"/>
        <w:rPr>
          <w:szCs w:val="24"/>
        </w:rPr>
      </w:pPr>
    </w:p>
    <w:p w:rsidR="00FB1A98" w:rsidRDefault="00FE5F68">
      <w:pPr>
        <w:shd w:val="clear" w:color="auto" w:fill="FFFFFF"/>
        <w:ind w:firstLine="283"/>
        <w:jc w:val="center"/>
        <w:rPr>
          <w:b/>
          <w:bCs/>
          <w:szCs w:val="24"/>
        </w:rPr>
      </w:pPr>
      <w:r>
        <w:rPr>
          <w:b/>
          <w:bCs/>
          <w:szCs w:val="16"/>
        </w:rPr>
        <w:t>СПИСОК ЛИТЕРАТУРЫ</w:t>
      </w:r>
    </w:p>
    <w:p w:rsidR="00FB1A98" w:rsidRDefault="00FB1A98">
      <w:pPr>
        <w:shd w:val="clear" w:color="auto" w:fill="FFFFFF"/>
        <w:ind w:firstLine="283"/>
        <w:jc w:val="both"/>
      </w:pP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 xml:space="preserve">1. Временные рекомендации по проектированию автоматических установок </w:t>
      </w:r>
      <w:proofErr w:type="spellStart"/>
      <w:r>
        <w:t>водопенного</w:t>
      </w:r>
      <w:proofErr w:type="spellEnd"/>
      <w:r>
        <w:t xml:space="preserve"> тушения в высотных механизированных стеллажных складах. - М.: ВНИИПО, 1972. - 31 с.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2. Рекомендации по проектированию автоматических установок пожаротушения для высотных механизированных складов универсального назначения высотой до 16 м. - М.: ВНИИПО, 1983. - 10 с.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3. Рекомендации по проектированию автоматических установок пожаротушения в высотных складах тарно-штучных грузов с передвижными стеллажами. - М.: ВНИИПО, 1983. - 13 с.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4. Рекомендации по проектированию автоматических установок пожаротушения для высотных технологических складов. - М.: ВНИИПО, 1984. - 10 с.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5. Рекомендации по проектированию автоматических установок пожаротушения в высотных стеллажных складах резинотехнических изделий с высотой складирования до 16 м, - М.: ВНИИПО, 1984. - 5 с.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6. ГОСТ 12.04.009-83. Пожарная техника для защиты объектов. Общие требования.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7. СНиП 2.04.09-84. Пожарная автоматика зданий и сооружений.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8. СНиП 2.04.02-84. Водоснабжение. Наружные сети и сооружения.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9. СНиП 2.04.01-85. Внутренний водопровод и канализация зданий.</w:t>
      </w:r>
    </w:p>
    <w:p w:rsidR="00FB1A98" w:rsidRDefault="00FE5F68">
      <w:pPr>
        <w:shd w:val="clear" w:color="auto" w:fill="FFFFFF"/>
        <w:ind w:firstLine="283"/>
        <w:jc w:val="both"/>
        <w:rPr>
          <w:szCs w:val="24"/>
        </w:rPr>
      </w:pPr>
      <w:r>
        <w:t>10. СНиП 2.09.02-85. Производственные здания промышленных предприятий.</w:t>
      </w:r>
    </w:p>
    <w:p w:rsidR="00FB1A98" w:rsidRDefault="00FE5F68">
      <w:pPr>
        <w:shd w:val="clear" w:color="auto" w:fill="FFFFFF"/>
        <w:ind w:firstLine="283"/>
        <w:jc w:val="both"/>
      </w:pPr>
      <w:r>
        <w:t>11. СНиП 2.11.01-85. Складские здания.</w:t>
      </w:r>
    </w:p>
    <w:sectPr w:rsidR="00FB1A98">
      <w:pgSz w:w="11909" w:h="16834"/>
      <w:pgMar w:top="1440" w:right="1797" w:bottom="1440" w:left="1797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activeWritingStyle w:appName="MSWord" w:lang="ru-RU" w:vendorID="1" w:dllVersion="512" w:checkStyle="1"/>
  <w:proofState w:spelling="clean" w:grammar="clean"/>
  <w:defaultTabStop w:val="72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7B6"/>
    <w:rsid w:val="005017B6"/>
    <w:rsid w:val="0051017B"/>
    <w:rsid w:val="008371BE"/>
    <w:rsid w:val="00F72163"/>
    <w:rsid w:val="00FB1A98"/>
    <w:rsid w:val="00FE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cs="Arial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1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17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371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cs="Arial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1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17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371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fireman.club/statyi-polzovateley/statsionarnyie-sistemyi-pozharotusheniya-vidyi-i-klassifikatsiya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3503</Words>
  <Characters>19972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Проектирование автоматических установок пожаротушения в высотных складах. Рекомендации</vt:lpstr>
    </vt:vector>
  </TitlesOfParts>
  <LinksUpToDate>false</LinksUpToDate>
  <CharactersWithSpaces>23429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2019-05-12T10:13:00Z</dcterms:created>
  <dcterms:modified xsi:type="dcterms:W3CDTF">2019-06-16T15:28:00Z</dcterms:modified>
</cp:coreProperties>
</file>