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D98" w:rsidRDefault="00CC38C6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szCs w:val="24"/>
        </w:rPr>
        <w:t>МИНИСТЕРСТВО ВНУТРЕННИХ ДЕЛ РОССИЙСКОЙ ФЕДЕРАЦИИ</w:t>
      </w:r>
    </w:p>
    <w:p w:rsidR="00984D98" w:rsidRDefault="00984D98">
      <w:pPr>
        <w:shd w:val="clear" w:color="auto" w:fill="FFFFFF"/>
        <w:ind w:firstLine="284"/>
        <w:jc w:val="center"/>
      </w:pPr>
    </w:p>
    <w:p w:rsidR="00984D98" w:rsidRDefault="00CC38C6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szCs w:val="24"/>
        </w:rPr>
        <w:t>ГОСУДАРСТВЕННАЯ ПРОТИВОПОЖАРНАЯ СЛУЖБА</w:t>
      </w:r>
    </w:p>
    <w:p w:rsidR="00984D98" w:rsidRDefault="00984D98">
      <w:pPr>
        <w:shd w:val="clear" w:color="auto" w:fill="FFFFFF"/>
        <w:ind w:firstLine="284"/>
        <w:jc w:val="center"/>
      </w:pPr>
    </w:p>
    <w:p w:rsidR="00984D98" w:rsidRDefault="00CC38C6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szCs w:val="24"/>
        </w:rPr>
        <w:t>ФЕДЕРАЛЬНОЕ ГОСУДАРСТВЕННОЕ УЧРЕЖДЕНИЕ</w:t>
      </w:r>
      <w:r w:rsidR="00D852E9">
        <w:rPr>
          <w:color w:val="000000"/>
          <w:szCs w:val="24"/>
        </w:rPr>
        <w:t xml:space="preserve"> «</w:t>
      </w:r>
      <w:r>
        <w:rPr>
          <w:color w:val="000000"/>
          <w:szCs w:val="24"/>
        </w:rPr>
        <w:t xml:space="preserve">ВСЕРОССИЙСКИЙ ОРДЕНА </w:t>
      </w:r>
      <w:r w:rsidR="00D852E9">
        <w:rPr>
          <w:color w:val="000000"/>
          <w:szCs w:val="24"/>
        </w:rPr>
        <w:t>«</w:t>
      </w:r>
      <w:r>
        <w:rPr>
          <w:color w:val="000000"/>
          <w:szCs w:val="24"/>
        </w:rPr>
        <w:t>ЗНАК ПОЧЕТА</w:t>
      </w:r>
      <w:r w:rsidR="00D852E9">
        <w:rPr>
          <w:color w:val="000000"/>
          <w:szCs w:val="24"/>
        </w:rPr>
        <w:t xml:space="preserve">» </w:t>
      </w:r>
      <w:r>
        <w:rPr>
          <w:color w:val="000000"/>
          <w:szCs w:val="24"/>
        </w:rPr>
        <w:t>НАУЧНО-ИССЛЕДОВАТЕЛЬСКИЙ ИНСТИТУТ</w:t>
      </w:r>
      <w:r w:rsidR="00D852E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ПРОТИВОПОЖАРНОЙ ОБОРОНЫ</w:t>
      </w:r>
      <w:r w:rsidR="00D852E9">
        <w:rPr>
          <w:color w:val="000000"/>
          <w:szCs w:val="24"/>
        </w:rPr>
        <w:t>»</w:t>
      </w:r>
    </w:p>
    <w:p w:rsidR="00984D98" w:rsidRDefault="00984D98">
      <w:pPr>
        <w:shd w:val="clear" w:color="auto" w:fill="FFFFFF"/>
        <w:ind w:firstLine="284"/>
        <w:jc w:val="right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2"/>
        <w:gridCol w:w="3481"/>
      </w:tblGrid>
      <w:tr w:rsidR="00984D98">
        <w:trPr>
          <w:jc w:val="center"/>
        </w:trPr>
        <w:tc>
          <w:tcPr>
            <w:tcW w:w="3832" w:type="dxa"/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УТВЕРЖДАЮ</w:t>
            </w:r>
          </w:p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</w:rPr>
              <w:t>Начальник ФГУ ВНИИПО</w:t>
            </w:r>
          </w:p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</w:rPr>
              <w:t>МВД России</w:t>
            </w:r>
          </w:p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</w:rPr>
              <w:t>генерал-майор внутренней службы</w:t>
            </w:r>
          </w:p>
          <w:p w:rsidR="00984D98" w:rsidRDefault="00CC38C6">
            <w:pPr>
              <w:shd w:val="clear" w:color="auto" w:fill="FFFFFF"/>
              <w:jc w:val="center"/>
            </w:pPr>
            <w:r>
              <w:rPr>
                <w:bCs/>
                <w:color w:val="000000"/>
              </w:rPr>
              <w:t>Н.П. Копылов</w:t>
            </w:r>
          </w:p>
          <w:p w:rsidR="00984D98" w:rsidRDefault="00CC38C6">
            <w:pPr>
              <w:jc w:val="both"/>
            </w:pPr>
            <w:r>
              <w:rPr>
                <w:color w:val="000000"/>
              </w:rPr>
              <w:t>13.04.2001 г.</w:t>
            </w:r>
          </w:p>
        </w:tc>
        <w:tc>
          <w:tcPr>
            <w:tcW w:w="3481" w:type="dxa"/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</w:rPr>
              <w:t>УТВЕРЖДАЮ</w:t>
            </w:r>
          </w:p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</w:rPr>
              <w:t>Начальник</w:t>
            </w:r>
          </w:p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</w:rPr>
              <w:t>ГУГПС МВД России</w:t>
            </w:r>
          </w:p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</w:rPr>
              <w:t>генерал-лейтенант внутренней службы</w:t>
            </w:r>
          </w:p>
          <w:p w:rsidR="00984D98" w:rsidRDefault="00CC38C6">
            <w:pPr>
              <w:shd w:val="clear" w:color="auto" w:fill="FFFFFF"/>
              <w:jc w:val="right"/>
            </w:pPr>
            <w:r>
              <w:rPr>
                <w:color w:val="000000"/>
              </w:rPr>
              <w:t xml:space="preserve">Е.А. </w:t>
            </w:r>
            <w:r>
              <w:rPr>
                <w:bCs/>
                <w:color w:val="000000"/>
              </w:rPr>
              <w:t>Серебренников</w:t>
            </w:r>
          </w:p>
          <w:p w:rsidR="00984D98" w:rsidRDefault="00CC38C6">
            <w:pPr>
              <w:jc w:val="both"/>
            </w:pPr>
            <w:r>
              <w:rPr>
                <w:color w:val="000000"/>
                <w:szCs w:val="19"/>
              </w:rPr>
              <w:t>04.10.2001 г.</w:t>
            </w:r>
          </w:p>
        </w:tc>
      </w:tr>
    </w:tbl>
    <w:p w:rsidR="00984D98" w:rsidRDefault="00984D98">
      <w:pPr>
        <w:shd w:val="clear" w:color="auto" w:fill="FFFFFF"/>
        <w:ind w:firstLine="284"/>
        <w:jc w:val="both"/>
      </w:pP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center"/>
        <w:rPr>
          <w:bCs/>
          <w:color w:val="000000"/>
          <w:szCs w:val="29"/>
        </w:rPr>
      </w:pPr>
      <w:r w:rsidRPr="00F127CF">
        <w:rPr>
          <w:b/>
          <w:color w:val="000000"/>
          <w:sz w:val="28"/>
          <w:szCs w:val="29"/>
        </w:rPr>
        <w:t xml:space="preserve">РЕКОМЕНДАЦИИ </w:t>
      </w:r>
      <w:r w:rsidRPr="00D852E9">
        <w:rPr>
          <w:b/>
          <w:sz w:val="28"/>
          <w:szCs w:val="29"/>
        </w:rPr>
        <w:t xml:space="preserve">ПО </w:t>
      </w:r>
      <w:hyperlink r:id="rId5" w:history="1">
        <w:r w:rsidRPr="00D852E9">
          <w:rPr>
            <w:rStyle w:val="a3"/>
            <w:b/>
            <w:color w:val="auto"/>
            <w:sz w:val="28"/>
            <w:szCs w:val="29"/>
            <w:u w:val="none"/>
          </w:rPr>
          <w:t>ПРОТИВОПОЖАРНОЙ</w:t>
        </w:r>
        <w:r w:rsidR="00F127CF" w:rsidRPr="00D852E9">
          <w:rPr>
            <w:rStyle w:val="a3"/>
            <w:b/>
            <w:color w:val="auto"/>
            <w:sz w:val="28"/>
            <w:szCs w:val="29"/>
            <w:u w:val="none"/>
          </w:rPr>
          <w:t xml:space="preserve"> </w:t>
        </w:r>
        <w:r w:rsidRPr="00D852E9">
          <w:rPr>
            <w:rStyle w:val="a3"/>
            <w:b/>
            <w:color w:val="auto"/>
            <w:sz w:val="28"/>
            <w:szCs w:val="29"/>
            <w:u w:val="none"/>
          </w:rPr>
          <w:t>ЗАЩИТЕ</w:t>
        </w:r>
        <w:r w:rsidR="00F127CF" w:rsidRPr="00D852E9">
          <w:rPr>
            <w:rStyle w:val="a3"/>
            <w:b/>
            <w:color w:val="auto"/>
            <w:sz w:val="28"/>
            <w:szCs w:val="29"/>
            <w:u w:val="none"/>
          </w:rPr>
          <w:t xml:space="preserve"> </w:t>
        </w:r>
        <w:r w:rsidRPr="00D852E9">
          <w:rPr>
            <w:rStyle w:val="a3"/>
            <w:b/>
            <w:color w:val="auto"/>
            <w:sz w:val="28"/>
            <w:szCs w:val="29"/>
            <w:u w:val="none"/>
          </w:rPr>
          <w:t>ЗДАНИЙ И СООРУЖЕНИЙ</w:t>
        </w:r>
      </w:hyperlink>
      <w:r w:rsidRPr="00D852E9">
        <w:rPr>
          <w:b/>
          <w:sz w:val="28"/>
          <w:szCs w:val="29"/>
        </w:rPr>
        <w:t xml:space="preserve"> С </w:t>
      </w:r>
      <w:r w:rsidRPr="00F127CF">
        <w:rPr>
          <w:b/>
          <w:color w:val="000000"/>
          <w:sz w:val="28"/>
          <w:szCs w:val="29"/>
        </w:rPr>
        <w:t>ОБОРУДОВАНИЕМ</w:t>
      </w:r>
      <w:r w:rsidR="00F127CF">
        <w:rPr>
          <w:b/>
          <w:color w:val="000000"/>
          <w:sz w:val="28"/>
          <w:szCs w:val="29"/>
        </w:rPr>
        <w:t xml:space="preserve"> </w:t>
      </w:r>
      <w:r w:rsidRPr="00F127CF">
        <w:rPr>
          <w:b/>
          <w:color w:val="000000"/>
          <w:sz w:val="28"/>
          <w:szCs w:val="29"/>
        </w:rPr>
        <w:t>РАДИОРЕЛЕЙНЫХ ЛИНИЙ СВЯЗИ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УДК 614.844:614.841.3</w:t>
      </w:r>
    </w:p>
    <w:p w:rsidR="00984D98" w:rsidRDefault="00984D98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 xml:space="preserve">В настоящих рекомендациях обобщены действующие нормы и правила пожарной безопасности применительно к зданиям и сооружениям радиорелейных линий передач. Технические здания радиорелейных станций *, в которых имеются приемно-передающие радиоустройства, электрооборудование, в </w:t>
      </w:r>
      <w:proofErr w:type="spellStart"/>
      <w:r>
        <w:rPr>
          <w:color w:val="000000"/>
          <w:szCs w:val="23"/>
        </w:rPr>
        <w:t>т.ч</w:t>
      </w:r>
      <w:proofErr w:type="spellEnd"/>
      <w:r>
        <w:rPr>
          <w:color w:val="000000"/>
          <w:szCs w:val="23"/>
        </w:rPr>
        <w:t xml:space="preserve">. генераторы, трансформаторы и другие электроустановки, работающие от токов высокого и низкого напряжения, представляют собой зоны повышенной пожарной опасности, снижение которой, а также решение вопросов пожаротушения, пожарной сигнализации, </w:t>
      </w:r>
      <w:proofErr w:type="spellStart"/>
      <w:r>
        <w:rPr>
          <w:color w:val="000000"/>
          <w:szCs w:val="23"/>
        </w:rPr>
        <w:t>газодымоудаления</w:t>
      </w:r>
      <w:proofErr w:type="spellEnd"/>
      <w:r>
        <w:rPr>
          <w:color w:val="000000"/>
          <w:szCs w:val="23"/>
        </w:rPr>
        <w:t xml:space="preserve"> являлись целью разработки данных рекомендаций.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_________________</w:t>
      </w:r>
    </w:p>
    <w:p w:rsidR="00984D98" w:rsidRDefault="00CC38C6">
      <w:pPr>
        <w:shd w:val="clear" w:color="auto" w:fill="FFFFFF"/>
        <w:ind w:firstLine="284"/>
        <w:jc w:val="both"/>
        <w:rPr>
          <w:sz w:val="18"/>
        </w:rPr>
      </w:pPr>
      <w:r>
        <w:rPr>
          <w:color w:val="000000"/>
          <w:sz w:val="18"/>
          <w:szCs w:val="19"/>
        </w:rPr>
        <w:t>* Далее - радиорелейные станции или станции РРС.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Рекомендации подготовлены на основе требований действующих нормативных документов, утвержденных в установленном порядке, а также с учетом современных научных данных и практической работы в области защиты электронного и электрического оборудования от пожара.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proofErr w:type="gramStart"/>
      <w:r>
        <w:rPr>
          <w:color w:val="000000"/>
          <w:szCs w:val="23"/>
        </w:rPr>
        <w:t xml:space="preserve">Разработаны Федеральным государственным учреждением </w:t>
      </w:r>
      <w:r w:rsidR="00D852E9">
        <w:rPr>
          <w:color w:val="000000"/>
          <w:szCs w:val="23"/>
        </w:rPr>
        <w:t>«</w:t>
      </w:r>
      <w:r>
        <w:rPr>
          <w:color w:val="000000"/>
          <w:szCs w:val="23"/>
        </w:rPr>
        <w:t xml:space="preserve">Всероссийский ордена </w:t>
      </w:r>
      <w:r w:rsidR="00D852E9">
        <w:rPr>
          <w:color w:val="000000"/>
          <w:szCs w:val="23"/>
        </w:rPr>
        <w:t>«</w:t>
      </w:r>
      <w:r>
        <w:rPr>
          <w:color w:val="000000"/>
          <w:szCs w:val="23"/>
        </w:rPr>
        <w:t>Знак Почета</w:t>
      </w:r>
      <w:r w:rsidR="00D852E9">
        <w:rPr>
          <w:color w:val="000000"/>
          <w:szCs w:val="23"/>
        </w:rPr>
        <w:t>»</w:t>
      </w:r>
      <w:r>
        <w:rPr>
          <w:color w:val="000000"/>
          <w:szCs w:val="23"/>
        </w:rPr>
        <w:t xml:space="preserve"> научно-исследовательский институт противопожарной обороны</w:t>
      </w:r>
      <w:r w:rsidR="00D852E9">
        <w:rPr>
          <w:color w:val="000000"/>
          <w:szCs w:val="23"/>
        </w:rPr>
        <w:t>»</w:t>
      </w:r>
      <w:r>
        <w:rPr>
          <w:color w:val="000000"/>
          <w:szCs w:val="23"/>
        </w:rPr>
        <w:t xml:space="preserve"> Министерства внутренних дел Российской Федерации (ФГУ ВНИИПО МВД России) (Н.П. Копылов, С.Г. </w:t>
      </w:r>
      <w:proofErr w:type="spellStart"/>
      <w:r>
        <w:rPr>
          <w:color w:val="000000"/>
          <w:szCs w:val="23"/>
        </w:rPr>
        <w:t>Габриэлян</w:t>
      </w:r>
      <w:proofErr w:type="spellEnd"/>
      <w:r>
        <w:rPr>
          <w:color w:val="000000"/>
          <w:szCs w:val="23"/>
        </w:rPr>
        <w:t xml:space="preserve">, А.Л. Чибисов, Г.С. </w:t>
      </w:r>
      <w:proofErr w:type="spellStart"/>
      <w:r>
        <w:rPr>
          <w:color w:val="000000"/>
          <w:szCs w:val="23"/>
        </w:rPr>
        <w:t>Габриэлян</w:t>
      </w:r>
      <w:proofErr w:type="spellEnd"/>
      <w:r>
        <w:rPr>
          <w:color w:val="000000"/>
          <w:szCs w:val="23"/>
        </w:rPr>
        <w:t xml:space="preserve">), нормативно-техническим отделом Главного управления Государственной противопожарной службы Министерства внутренних дел Российской Федерации (ГУГПС МВД России) (Е.П. </w:t>
      </w:r>
      <w:proofErr w:type="spellStart"/>
      <w:r>
        <w:rPr>
          <w:color w:val="000000"/>
          <w:szCs w:val="23"/>
        </w:rPr>
        <w:t>Шаститко</w:t>
      </w:r>
      <w:proofErr w:type="spellEnd"/>
      <w:r>
        <w:rPr>
          <w:color w:val="000000"/>
          <w:szCs w:val="23"/>
        </w:rPr>
        <w:t>).</w:t>
      </w:r>
      <w:proofErr w:type="gramEnd"/>
    </w:p>
    <w:p w:rsidR="00F127CF" w:rsidRDefault="00F127CF" w:rsidP="00F127CF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</w:p>
    <w:p w:rsidR="00F127CF" w:rsidRDefault="00F127CF" w:rsidP="00F127CF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ОГЛАВЛЕНИЕ</w:t>
      </w:r>
    </w:p>
    <w:p w:rsidR="00F127CF" w:rsidRDefault="00F127CF" w:rsidP="00F127CF">
      <w:pPr>
        <w:shd w:val="clear" w:color="auto" w:fill="FFFFFF"/>
        <w:ind w:firstLine="284"/>
        <w:jc w:val="both"/>
      </w:pPr>
    </w:p>
    <w:p w:rsidR="00F127CF" w:rsidRDefault="00F127CF" w:rsidP="00F127CF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1. Общие положения и область применения</w:t>
      </w:r>
      <w:r>
        <w:rPr>
          <w:color w:val="000000"/>
          <w:szCs w:val="23"/>
        </w:rPr>
        <w:t>.</w:t>
      </w:r>
    </w:p>
    <w:p w:rsidR="00F127CF" w:rsidRDefault="00F127CF" w:rsidP="00F127CF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2. Требования к огнестойкости зданий и сооружений на станциях РРС</w:t>
      </w:r>
      <w:r>
        <w:rPr>
          <w:color w:val="000000"/>
          <w:szCs w:val="23"/>
        </w:rPr>
        <w:t>.</w:t>
      </w:r>
    </w:p>
    <w:p w:rsidR="00F127CF" w:rsidRDefault="00F127CF" w:rsidP="00F127CF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 Пожаротушение и пожарная сигнализация</w:t>
      </w:r>
      <w:r>
        <w:rPr>
          <w:color w:val="000000"/>
          <w:szCs w:val="23"/>
        </w:rPr>
        <w:t>.</w:t>
      </w:r>
    </w:p>
    <w:p w:rsidR="00F127CF" w:rsidRDefault="00F127CF" w:rsidP="00F127CF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4. Вентиляция и </w:t>
      </w:r>
      <w:proofErr w:type="spellStart"/>
      <w:r>
        <w:rPr>
          <w:color w:val="000000"/>
          <w:szCs w:val="23"/>
        </w:rPr>
        <w:t>газодымоудаление</w:t>
      </w:r>
      <w:proofErr w:type="spellEnd"/>
      <w:r>
        <w:rPr>
          <w:color w:val="000000"/>
          <w:szCs w:val="23"/>
        </w:rPr>
        <w:t>.</w:t>
      </w:r>
    </w:p>
    <w:p w:rsidR="00F127CF" w:rsidRDefault="00F127CF" w:rsidP="00F127CF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5. Требования к путям эвакуации</w:t>
      </w:r>
      <w:r>
        <w:rPr>
          <w:color w:val="000000"/>
          <w:szCs w:val="23"/>
        </w:rPr>
        <w:t>.</w:t>
      </w:r>
    </w:p>
    <w:p w:rsidR="00984D98" w:rsidRDefault="00F127CF" w:rsidP="00F127CF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Список литературы</w:t>
      </w:r>
      <w:r>
        <w:rPr>
          <w:color w:val="000000"/>
          <w:szCs w:val="23"/>
        </w:rPr>
        <w:t>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1. ОБЩИЕ ПОЛОЖЕНИЯ И ОБЛАСТЬ ПРИМЕНЕНИЯ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Настоящие рекомендации распространяются на проектируемые и реконструируемые станции РРС. Применение данных рекомендаций для существующих радиорелейных станций осуществляется в порядке, установленном СНиП 10-01-94 (п. 8.5) [1].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lastRenderedPageBreak/>
        <w:t>В соответствии с ВНПТ-213-93 [2] радиорелейные линии передачи (РРЛ) обеспечивают передачу сигналов электросвязи в открытом пространстве между наземными станциями РРС, расположенными на трассе РРЛ одна относительно другой на расстоянии прямой видимости между антеннами этих станций.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По функциональному признаку станции РРС классифицируются </w:t>
      </w:r>
      <w:proofErr w:type="gramStart"/>
      <w:r>
        <w:rPr>
          <w:color w:val="000000"/>
          <w:szCs w:val="23"/>
        </w:rPr>
        <w:t>на</w:t>
      </w:r>
      <w:proofErr w:type="gramEnd"/>
      <w:r>
        <w:rPr>
          <w:color w:val="000000"/>
          <w:szCs w:val="23"/>
        </w:rPr>
        <w:t xml:space="preserve"> узловые, оконечные и промежуточные.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Узловой является станция, на которой осуществляется ввод, выделение информации, передаваемой по радиорелейной системе, а также предусматривается возможность организации одного или нескольких радиорелейных ответвлений.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Промежуточные станции осуществляют прием и ретрансляцию сигналов, а оконечные станции — ввод и вывод информации, передаваемой по радиорелейной системе.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На площадках вышеперечисленных радиорелейных станций расположены следующие здания и сооружения, предназначенные для размещения оборудования радиорелейных и кабельных систем передачи, электроустановок и вспомогательных служб: отдельно стоящее техническое здание, антенная опора, дизельная, трансформаторная подстанция, склады дизельного топлива и смазочных масел. Кроме того, на узловых и оконечных радиорелейных станциях могут быть предусмотрены и другие сооружения вспомогательного назначения (котельная, гараж, здание аварийно-профилактической службы, пожарный резервуар и т. п.).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Технические здания могут быть расположены следующим образом: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1. Непосредственно под опорой.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2. </w:t>
      </w:r>
      <w:proofErr w:type="gramStart"/>
      <w:r>
        <w:rPr>
          <w:color w:val="000000"/>
          <w:szCs w:val="23"/>
        </w:rPr>
        <w:t>Закреплены</w:t>
      </w:r>
      <w:proofErr w:type="gramEnd"/>
      <w:r>
        <w:rPr>
          <w:color w:val="000000"/>
          <w:szCs w:val="23"/>
        </w:rPr>
        <w:t xml:space="preserve"> на опоре.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 Отдельно стоящие здания находятся в непосредственной близости от опоры.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4. Необслуживаемые радиорелейные станции контейнерного типа, как правило, находятся вблизи опоры.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 Встроенные помещения РРС размещаются в производственных, жилых и общественных зданиях.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Общие требования пожарной безопасности на станциях РРС, а также организационные и профилактические мероприятия, требования к содержанию прилегающей территории, порядок действий при пожаре и т. д. изложены в Правилах пожарной безопасности ППБ 01-93** [3].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2. ТРЕБОВАНИЯ К ОГНЕСТОЙКОСТИ ЗДАНИЙ</w:t>
      </w: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И СООРУЖЕНИЙ НА СТАНЦИЯХ РРС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2.1. Станции РРС должны проектироваться с учетом СНиП 21-01-97* [4], а также противопожарных требований, изложенных в других нормативных документах.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2.2. Здания и сооружения станций РРС, предназначенные для размещения в них электрического оборудования средств связи, должны иметь степень огнестойкости не ниже </w:t>
      </w:r>
      <w:r>
        <w:rPr>
          <w:color w:val="000000"/>
          <w:szCs w:val="24"/>
          <w:lang w:val="en-US"/>
        </w:rPr>
        <w:t>III</w:t>
      </w:r>
      <w:r>
        <w:rPr>
          <w:color w:val="000000"/>
          <w:szCs w:val="24"/>
        </w:rPr>
        <w:t xml:space="preserve"> и класс конструктивной пожарной опасности не ниже С</w:t>
      </w:r>
      <w:proofErr w:type="gramStart"/>
      <w:r>
        <w:rPr>
          <w:color w:val="000000"/>
          <w:szCs w:val="24"/>
        </w:rPr>
        <w:t>0</w:t>
      </w:r>
      <w:proofErr w:type="gramEnd"/>
      <w:r>
        <w:rPr>
          <w:color w:val="000000"/>
          <w:szCs w:val="24"/>
        </w:rPr>
        <w:t>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Необслуживаемые станции РРС контейнерного типа должны иметь степень огнестойкости не ниже </w:t>
      </w:r>
      <w:r>
        <w:rPr>
          <w:color w:val="000000"/>
          <w:szCs w:val="24"/>
          <w:lang w:val="en-US"/>
        </w:rPr>
        <w:t>IV</w:t>
      </w:r>
      <w:r>
        <w:rPr>
          <w:color w:val="000000"/>
          <w:szCs w:val="24"/>
        </w:rPr>
        <w:t xml:space="preserve"> и класс конструктивной пожарной опасности не ниже С</w:t>
      </w:r>
      <w:proofErr w:type="gramStart"/>
      <w:r>
        <w:rPr>
          <w:color w:val="000000"/>
          <w:szCs w:val="24"/>
        </w:rPr>
        <w:t>1</w:t>
      </w:r>
      <w:proofErr w:type="gramEnd"/>
      <w:r>
        <w:rPr>
          <w:color w:val="000000"/>
          <w:szCs w:val="24"/>
        </w:rPr>
        <w:t>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2.3. Производственные помещения в технических зданиях радиорелейных станций должны быть выделены противопожарными стенами 2-го типа с пределом огнестойкости не менее </w:t>
      </w:r>
      <w:r>
        <w:rPr>
          <w:color w:val="000000"/>
          <w:szCs w:val="24"/>
          <w:lang w:val="en-US"/>
        </w:rPr>
        <w:t>REI</w:t>
      </w:r>
      <w:r>
        <w:rPr>
          <w:color w:val="000000"/>
          <w:szCs w:val="24"/>
        </w:rPr>
        <w:t xml:space="preserve"> 45 или перегородками 1-го типа с пределом огнестойкости не менее </w:t>
      </w:r>
      <w:r>
        <w:rPr>
          <w:color w:val="000000"/>
          <w:szCs w:val="24"/>
          <w:lang w:val="en-US"/>
        </w:rPr>
        <w:t>EI</w:t>
      </w:r>
      <w:r>
        <w:rPr>
          <w:color w:val="000000"/>
          <w:szCs w:val="24"/>
        </w:rPr>
        <w:t xml:space="preserve"> 45, а также противопожарными перекрытиями 3-го типа с пределом огнестойкости не менее </w:t>
      </w:r>
      <w:r>
        <w:rPr>
          <w:color w:val="000000"/>
          <w:szCs w:val="24"/>
          <w:lang w:val="en-US"/>
        </w:rPr>
        <w:t>REI</w:t>
      </w:r>
      <w:r>
        <w:rPr>
          <w:color w:val="000000"/>
          <w:szCs w:val="24"/>
        </w:rPr>
        <w:t xml:space="preserve"> 45. Двери этих помещений должны быть 2-го типа с пределом огнестойкости </w:t>
      </w:r>
      <w:r>
        <w:rPr>
          <w:color w:val="000000"/>
          <w:szCs w:val="24"/>
          <w:lang w:val="en-US"/>
        </w:rPr>
        <w:t>EI</w:t>
      </w:r>
      <w:r>
        <w:rPr>
          <w:color w:val="000000"/>
          <w:szCs w:val="24"/>
        </w:rPr>
        <w:t xml:space="preserve"> 30.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2.4. Облицовка стен и потолков помещений должна быть выполнена из негорючих или </w:t>
      </w:r>
      <w:proofErr w:type="spellStart"/>
      <w:r>
        <w:rPr>
          <w:color w:val="000000"/>
          <w:szCs w:val="24"/>
        </w:rPr>
        <w:t>слабогорючих</w:t>
      </w:r>
      <w:proofErr w:type="spellEnd"/>
      <w:r>
        <w:rPr>
          <w:color w:val="000000"/>
          <w:szCs w:val="24"/>
        </w:rPr>
        <w:t xml:space="preserve"> материалов, классифицируемых в соответствии с ГОСТ 30244-94 [5].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2.5. Съемные полы помещений должны быть выполнены из негорючих материалов или горючих материалов группы Г</w:t>
      </w:r>
      <w:proofErr w:type="gramStart"/>
      <w:r>
        <w:rPr>
          <w:color w:val="000000"/>
          <w:szCs w:val="24"/>
        </w:rPr>
        <w:t>1</w:t>
      </w:r>
      <w:proofErr w:type="gramEnd"/>
      <w:r>
        <w:rPr>
          <w:color w:val="000000"/>
          <w:szCs w:val="24"/>
        </w:rPr>
        <w:t xml:space="preserve">. Конструкция съемного пола в целом должна иметь предел огнестойкости не ниже </w:t>
      </w:r>
      <w:r>
        <w:rPr>
          <w:color w:val="000000"/>
          <w:szCs w:val="24"/>
          <w:lang w:val="en-US"/>
        </w:rPr>
        <w:t>EI</w:t>
      </w:r>
      <w:r>
        <w:rPr>
          <w:color w:val="000000"/>
          <w:szCs w:val="24"/>
        </w:rPr>
        <w:t xml:space="preserve"> 30 и класс пожарной опасности К</w:t>
      </w:r>
      <w:proofErr w:type="gramStart"/>
      <w:r>
        <w:rPr>
          <w:color w:val="000000"/>
          <w:szCs w:val="24"/>
        </w:rPr>
        <w:t>0</w:t>
      </w:r>
      <w:proofErr w:type="gramEnd"/>
      <w:r>
        <w:rPr>
          <w:color w:val="000000"/>
          <w:szCs w:val="24"/>
        </w:rPr>
        <w:t>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Короба, лотки и трубы, размещаемые под съемными полами, должны быть изготовлены из негорючих материалов.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2.6. Подпольные пространства должны разделяться диафрагмами из негорючих материалов с пределом огнестойкости не ниже </w:t>
      </w:r>
      <w:r>
        <w:rPr>
          <w:color w:val="000000"/>
          <w:szCs w:val="24"/>
          <w:lang w:val="en-US"/>
        </w:rPr>
        <w:t>EI</w:t>
      </w:r>
      <w:r>
        <w:rPr>
          <w:color w:val="000000"/>
          <w:szCs w:val="24"/>
        </w:rPr>
        <w:t xml:space="preserve"> 45 на отдельные отсеки площадью не более 250 м</w:t>
      </w:r>
      <w:proofErr w:type="gramStart"/>
      <w:r>
        <w:rPr>
          <w:color w:val="000000"/>
          <w:szCs w:val="24"/>
          <w:vertAlign w:val="superscript"/>
        </w:rPr>
        <w:t>2</w:t>
      </w:r>
      <w:proofErr w:type="gramEnd"/>
      <w:r>
        <w:rPr>
          <w:color w:val="000000"/>
          <w:szCs w:val="24"/>
        </w:rPr>
        <w:t>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Коммуникации через диафрагмы должны прокладываться в специальных обоймах с применением негорючих герметизирующих и уплотняющих материалов с тем же пределом огнестойкости, что и диафрагмы.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2.7. Каркасы подвесных потолков должны быть выполнены из негорючих материалов. Подвесные потолки должны быть изготовлены из негорючих или горючих материалов класса Г</w:t>
      </w:r>
      <w:proofErr w:type="gramStart"/>
      <w:r>
        <w:rPr>
          <w:color w:val="000000"/>
          <w:szCs w:val="23"/>
        </w:rPr>
        <w:t>1</w:t>
      </w:r>
      <w:proofErr w:type="gramEnd"/>
      <w:r>
        <w:rPr>
          <w:color w:val="000000"/>
          <w:szCs w:val="23"/>
        </w:rPr>
        <w:t>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lastRenderedPageBreak/>
        <w:t xml:space="preserve">2.8. При прокладке кабелей через ограждающие конструкции помещений зазоры между ограждающей конструкцией и кабелями должны быть заделаны на всю толщину конструкции строительным раствором или другими негорючими материалами, обеспечивающими требуемый предел огнестойкости и </w:t>
      </w:r>
      <w:proofErr w:type="spellStart"/>
      <w:r>
        <w:rPr>
          <w:color w:val="000000"/>
          <w:szCs w:val="23"/>
        </w:rPr>
        <w:t>газодымонепроницаемость</w:t>
      </w:r>
      <w:proofErr w:type="spellEnd"/>
      <w:r>
        <w:rPr>
          <w:color w:val="000000"/>
          <w:szCs w:val="23"/>
        </w:rPr>
        <w:t>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2.9. Пожарно-технические характеристики материалов на путях эвакуации должны соответствовать требованиям [4].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3. ПОЖАРОТУШЕНИЕ И ПОЖАРНАЯ СИГНАЛИЗАЦИЯ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3.1. Для тушения горящего электрооборудования на радиорелейных станциях необходимо применять сертифицированные газовые огнетушащие составы в соответствии с НПБ 88-2001 [6].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Рекомендованные к применению газовые огнетушащие составы и нормы их расхода приведены в табл. 1.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1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Газовые огнетушащие составы (ГОС) для тушения пожаров</w:t>
      </w: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в помещениях РРС с технологическим оборудованием</w:t>
      </w:r>
    </w:p>
    <w:p w:rsidR="00984D98" w:rsidRDefault="00984D98">
      <w:pPr>
        <w:shd w:val="clear" w:color="auto" w:fill="FFFFFF"/>
        <w:ind w:firstLine="284"/>
        <w:jc w:val="right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976"/>
        <w:gridCol w:w="3240"/>
      </w:tblGrid>
      <w:tr w:rsidR="00984D98"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Наименование ГОС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Норма расхода ГОС, кг/м</w:t>
            </w:r>
            <w:r>
              <w:rPr>
                <w:color w:val="000000"/>
                <w:szCs w:val="19"/>
                <w:vertAlign w:val="superscript"/>
              </w:rPr>
              <w:t>3</w:t>
            </w:r>
            <w:r>
              <w:rPr>
                <w:color w:val="000000"/>
                <w:szCs w:val="19"/>
              </w:rPr>
              <w:t>, не менее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Условия применения</w:t>
            </w:r>
          </w:p>
        </w:tc>
      </w:tr>
      <w:tr w:rsidR="00984D98"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 xml:space="preserve">Хладоны </w:t>
            </w:r>
            <w:proofErr w:type="spellStart"/>
            <w:r>
              <w:rPr>
                <w:color w:val="000000"/>
                <w:szCs w:val="21"/>
              </w:rPr>
              <w:t>озононеразрушающие</w:t>
            </w:r>
            <w:proofErr w:type="spellEnd"/>
            <w:r>
              <w:rPr>
                <w:color w:val="000000"/>
                <w:szCs w:val="21"/>
              </w:rPr>
              <w:t xml:space="preserve"> сертифицированные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В соответствии с приложением 5 норм [6]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Модули и батареи газового пожаротушения вместимостью 40-100 л</w:t>
            </w:r>
          </w:p>
        </w:tc>
      </w:tr>
      <w:tr w:rsidR="00984D98"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Углекислота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То же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То же, изотермические резервуары</w:t>
            </w:r>
          </w:p>
        </w:tc>
      </w:tr>
    </w:tbl>
    <w:p w:rsidR="00984D98" w:rsidRDefault="00984D98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3.2. Модули и батареи, а также изотермические резервуары, применяемые в автоматических установках газового пожаротушения, должны быть сертифицированы по НПБ 54-96 [7] и НПБ 78-99 [8] соответственно.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3.3. Водяные и </w:t>
      </w:r>
      <w:proofErr w:type="spellStart"/>
      <w:r>
        <w:rPr>
          <w:color w:val="000000"/>
          <w:szCs w:val="23"/>
        </w:rPr>
        <w:t>водопенные</w:t>
      </w:r>
      <w:proofErr w:type="spellEnd"/>
      <w:r>
        <w:rPr>
          <w:color w:val="000000"/>
          <w:szCs w:val="23"/>
        </w:rPr>
        <w:t xml:space="preserve"> средства, а также порошковые и </w:t>
      </w:r>
      <w:proofErr w:type="spellStart"/>
      <w:r>
        <w:rPr>
          <w:color w:val="000000"/>
          <w:szCs w:val="23"/>
        </w:rPr>
        <w:t>газоаэрозольные</w:t>
      </w:r>
      <w:proofErr w:type="spellEnd"/>
      <w:r>
        <w:rPr>
          <w:color w:val="000000"/>
          <w:szCs w:val="23"/>
        </w:rPr>
        <w:t xml:space="preserve"> составы для тушения горящего электрического оборудования на станциях РРС применять не следует.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3.4. Перечень производственных помещений в технических зданиях станций РРС, подлежащих защите автоматическими установками пожаротушения (АУПТ) и пожарной сигнализацией (АУПС), приведен в табл. 2.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2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Перечень производственных помещений, подлежащих защите АУПТ и АУПС</w:t>
      </w:r>
    </w:p>
    <w:p w:rsidR="00984D98" w:rsidRDefault="00984D98">
      <w:pPr>
        <w:shd w:val="clear" w:color="auto" w:fill="FFFFFF"/>
        <w:ind w:firstLine="284"/>
        <w:jc w:val="both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9"/>
        <w:gridCol w:w="2799"/>
        <w:gridCol w:w="2673"/>
      </w:tblGrid>
      <w:tr w:rsidR="00984D98"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Помещения</w:t>
            </w:r>
          </w:p>
        </w:tc>
        <w:tc>
          <w:tcPr>
            <w:tcW w:w="5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Нормативный показатель</w:t>
            </w:r>
          </w:p>
        </w:tc>
      </w:tr>
      <w:tr w:rsidR="00984D98">
        <w:tc>
          <w:tcPr>
            <w:tcW w:w="28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984D98">
            <w:pPr>
              <w:shd w:val="clear" w:color="auto" w:fill="FFFFFF"/>
              <w:jc w:val="center"/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АУПТ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АУПС</w:t>
            </w:r>
          </w:p>
        </w:tc>
      </w:tr>
      <w:tr w:rsidR="00984D98"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Аппаратная (</w:t>
            </w:r>
            <w:proofErr w:type="gramStart"/>
            <w:r>
              <w:rPr>
                <w:color w:val="000000"/>
                <w:szCs w:val="21"/>
              </w:rPr>
              <w:t>обслуживаемых</w:t>
            </w:r>
            <w:proofErr w:type="gramEnd"/>
            <w:r>
              <w:rPr>
                <w:color w:val="000000"/>
                <w:szCs w:val="21"/>
              </w:rPr>
              <w:t xml:space="preserve"> или управляемых автоматизированных РРС)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Независимо от площади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984D98">
            <w:pPr>
              <w:shd w:val="clear" w:color="auto" w:fill="FFFFFF"/>
              <w:jc w:val="both"/>
            </w:pPr>
          </w:p>
        </w:tc>
      </w:tr>
      <w:tr w:rsidR="00984D98"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Линейно-аппаратный цех (ЛАЦ)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То же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984D98">
            <w:pPr>
              <w:shd w:val="clear" w:color="auto" w:fill="FFFFFF"/>
              <w:jc w:val="both"/>
            </w:pPr>
          </w:p>
        </w:tc>
      </w:tr>
      <w:tr w:rsidR="00984D98"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proofErr w:type="gramStart"/>
            <w:r>
              <w:rPr>
                <w:color w:val="000000"/>
                <w:szCs w:val="21"/>
              </w:rPr>
              <w:t>Необслуживаемые</w:t>
            </w:r>
            <w:proofErr w:type="gramEnd"/>
            <w:r>
              <w:rPr>
                <w:color w:val="000000"/>
                <w:szCs w:val="21"/>
              </w:rPr>
              <w:t xml:space="preserve"> РРС контейнерного типа*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То же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984D98">
            <w:pPr>
              <w:shd w:val="clear" w:color="auto" w:fill="FFFFFF"/>
              <w:jc w:val="both"/>
            </w:pPr>
          </w:p>
        </w:tc>
      </w:tr>
      <w:tr w:rsidR="00984D98"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Помещения РРС, встроенные в производственные, жилые и общественные здания**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То же, при отсутствии в здании помещения пожарного поста или другого помещения с персоналом, ведущим круглосуточное дежурство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98" w:rsidRDefault="00CC38C6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Независимо от площади, с выводом сигнала в помещение пожарного поста или другое помещение с персоналом, ведущим круглосуточное дежурство</w:t>
            </w:r>
          </w:p>
        </w:tc>
      </w:tr>
    </w:tbl>
    <w:p w:rsidR="00984D98" w:rsidRDefault="00984D98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984D98" w:rsidRDefault="00CC38C6">
      <w:pPr>
        <w:shd w:val="clear" w:color="auto" w:fill="FFFFFF"/>
        <w:ind w:firstLine="284"/>
        <w:jc w:val="both"/>
        <w:rPr>
          <w:sz w:val="18"/>
        </w:rPr>
      </w:pPr>
      <w:r>
        <w:rPr>
          <w:color w:val="000000"/>
          <w:sz w:val="18"/>
          <w:szCs w:val="19"/>
        </w:rPr>
        <w:t>* На защищенных АУПТ необслуживаемых радиорелейных станциях с аппаратурой в контейнере наружное противопожарное водоснабжение допускается не предусматривать.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19"/>
        </w:rPr>
      </w:pPr>
      <w:r>
        <w:rPr>
          <w:color w:val="000000"/>
          <w:sz w:val="18"/>
          <w:szCs w:val="19"/>
        </w:rPr>
        <w:t>** Для встроенных помещений РРС допускается закрытая прокладка в лестничных клетках волноводов и кабелей, эксплуатирующихся под напряжением, не превышающим 64 В.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3.5. Остальные помещения, в </w:t>
      </w:r>
      <w:proofErr w:type="spellStart"/>
      <w:r>
        <w:rPr>
          <w:color w:val="000000"/>
          <w:szCs w:val="23"/>
        </w:rPr>
        <w:t>т.ч</w:t>
      </w:r>
      <w:proofErr w:type="spellEnd"/>
      <w:r>
        <w:rPr>
          <w:color w:val="000000"/>
          <w:szCs w:val="23"/>
        </w:rPr>
        <w:t>. помещения с дизельной электростанцией, кабельные сооружения, трансформаторные подстанции, склады дизельного топлива и смазочных масел, котельные, гаражи и т. д., не отраженные в табл. 2, должны оборудоваться АУПТ и АУПС, исходя из требований НПБ 110-99 [9].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3.6. При защите установками автоматического пожаротушения помещений с дизельной электростанцией (ДЭС) допускается применение в составе АУПТ порошковых и </w:t>
      </w:r>
      <w:proofErr w:type="spellStart"/>
      <w:r>
        <w:rPr>
          <w:color w:val="000000"/>
          <w:szCs w:val="23"/>
        </w:rPr>
        <w:t>газоаэрозольных</w:t>
      </w:r>
      <w:proofErr w:type="spellEnd"/>
      <w:r>
        <w:rPr>
          <w:color w:val="000000"/>
          <w:szCs w:val="23"/>
        </w:rPr>
        <w:t xml:space="preserve"> огнетушащих средств.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В качестве мер по снижению взрывопожарной опасности помещений с ДЭС рекомендуется ограничивать площадь возможного пролива дизтоплива под дизелями на полу путем устройства бортиков (поддонов), а также предусматривать аварийный сброс дизтоплива за пределы указанного помещения в аварийную емкость.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Основной запас дизтоплива рекомендуется хранить в баках на открытом воздухе на специально оборудованной площадке.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3.7. В помещениях с аккумуляторными батареями, выделяющими водород, следует предусматривать проведение мероприятий по </w:t>
      </w:r>
      <w:proofErr w:type="spellStart"/>
      <w:r>
        <w:rPr>
          <w:color w:val="000000"/>
          <w:szCs w:val="23"/>
        </w:rPr>
        <w:t>взрывопредупреждению</w:t>
      </w:r>
      <w:proofErr w:type="spellEnd"/>
      <w:r>
        <w:rPr>
          <w:color w:val="000000"/>
          <w:szCs w:val="23"/>
        </w:rPr>
        <w:t xml:space="preserve"> в соответствии с п. 4.4.43 ПУЭ-98 [10]. В помещениях с герметизированными, т. н. </w:t>
      </w:r>
      <w:r w:rsidR="00D852E9">
        <w:rPr>
          <w:color w:val="000000"/>
          <w:szCs w:val="23"/>
        </w:rPr>
        <w:t>«</w:t>
      </w:r>
      <w:r>
        <w:rPr>
          <w:color w:val="000000"/>
          <w:szCs w:val="23"/>
        </w:rPr>
        <w:t>сухими</w:t>
      </w:r>
      <w:r w:rsidR="00D852E9">
        <w:rPr>
          <w:color w:val="000000"/>
          <w:szCs w:val="23"/>
        </w:rPr>
        <w:t>»</w:t>
      </w:r>
      <w:r>
        <w:rPr>
          <w:color w:val="000000"/>
          <w:szCs w:val="23"/>
        </w:rPr>
        <w:t xml:space="preserve"> аккумуляторами, не выделяющими водород во взрывоопасных количествах (что должно быть подтверждено техническими условиями на аккумуляторы), указанные мероприятия допускается не предусматривать.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3.8. Проектирование и расчет установок газового и аэрозольного пожаротушения производятся по [6].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3.9. Автоматической пожарной сигнализацией необходимо оборудовать все помещения станций РРС, в т. ч. коридоры и холлы, входящие в комплекс помещений для работы и обслуживания сре</w:t>
      </w:r>
      <w:proofErr w:type="gramStart"/>
      <w:r>
        <w:rPr>
          <w:color w:val="000000"/>
          <w:szCs w:val="23"/>
        </w:rPr>
        <w:t>дств св</w:t>
      </w:r>
      <w:proofErr w:type="gramEnd"/>
      <w:r>
        <w:rPr>
          <w:color w:val="000000"/>
          <w:szCs w:val="23"/>
        </w:rPr>
        <w:t>язи, за исключением помещений с мокрыми технологическими процессами (санузлы, туалеты и т. п.). В помещениях, где используются электрические средства связи, рекомендуется применять дымовые пожарные извещатели.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Проектирование пожарной сигнализации должно осуществляться в соответствии с требованиями [6], а также других нормативных документов.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3.10. Пуск установок АУПТ должен быть автоматическим по сигналу пожарных извещателей при срабатывании не менее двух автоматических извещателей. </w:t>
      </w:r>
      <w:proofErr w:type="gramStart"/>
      <w:r>
        <w:rPr>
          <w:color w:val="000000"/>
          <w:szCs w:val="23"/>
        </w:rPr>
        <w:t>АУГП должны обеспечивать задержку выпуска огнетушащего вещества (после подачи светового и звукового сигналов о пожаре) при автоматическом и дистанционном пуске на время, необходимое для эвакуации людей, остановки вентиляционного оборудования, закрытия воздушных заслонок, противопожарных клапанов и т. д., но не менее чем на 30 с. Необходимое время эвакуации следует определять по ГОСТ 12.1.004 [11].</w:t>
      </w:r>
      <w:proofErr w:type="gramEnd"/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3.11. Аппаратура систем пожарной сигнализации, управления АУПТ, оповещения людей о пожаре и других аварийных ситуациях должна размещаться в одном помещении (пультовой или пожарного поста) с круглосуточным пребыванием обслуживающего персонала. Сюда выводится информация о возникновении пожара с расшифровкой по помещениям, о срабатывании АУПТ с расшифровкой по направлениям и поступлении огнетушащего средства в защищаемое помещение, о наличии напряжения на основном и резервном источниках питания, о неисправности АУПТ с расшифровкой по направлениям, об отключении звуковой сигнализации о пожаре.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3.12. Помещения радиорелейных станций должны оборудоваться первичными средствами пожаротушения в соответствии с требованиями [3].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Помещения, подлежащие оснащению газовыми АУПТ, должны оборудоваться переносными углекислотными огнетушителями емкостью не менее 5 л из расчета один огнетушитель на 40 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 xml:space="preserve"> защищаемой площади, но не менее двух на одно помещение.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Помещения станций РРС, не подлежащие оснащению газовыми АУПТ, следует оборудовать переносными углекислотными или порошковыми огнетушителями емкостью не менее 5 л в количестве, соответствующем приложению 3 Правил [3].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3.13. Отдельно стоящие здания и сооружения, расположенные в пределах периметра радиорелейных станций (гаражи, котельные, склады и т. д.), должны соответствовать требованиям пожарной безопасности, установленным [3] и другими действующими нормативными документами.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3.14. Категорирование помещений радиорелейных станций осуществляется проектными организациями в соответствии с НПБ 105-95 [12].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 xml:space="preserve">3.15. Техническое обслуживание и планово-предупредительный ремонт систем противопожарной защиты должны осуществлять специально обученный обслуживающий </w:t>
      </w:r>
      <w:r>
        <w:rPr>
          <w:color w:val="000000"/>
          <w:szCs w:val="23"/>
        </w:rPr>
        <w:lastRenderedPageBreak/>
        <w:t>персонал или специализированная организация, имеющая лицензию, по договору.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iCs/>
          <w:color w:val="000000"/>
          <w:szCs w:val="24"/>
        </w:rPr>
        <w:t xml:space="preserve">4. </w:t>
      </w:r>
      <w:r>
        <w:rPr>
          <w:b/>
          <w:color w:val="000000"/>
          <w:szCs w:val="24"/>
        </w:rPr>
        <w:t>ВЕНТИЛЯЦИЯ И ГАЗОДЫМОУДАЛЕНИЕ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4.1. Системы вентиляции и кондиционирования воздуха в помещениях, защищаемых </w:t>
      </w:r>
      <w:proofErr w:type="gramStart"/>
      <w:r>
        <w:rPr>
          <w:color w:val="000000"/>
          <w:szCs w:val="23"/>
        </w:rPr>
        <w:t>газовыми</w:t>
      </w:r>
      <w:proofErr w:type="gramEnd"/>
      <w:r>
        <w:rPr>
          <w:color w:val="000000"/>
          <w:szCs w:val="23"/>
        </w:rPr>
        <w:t xml:space="preserve"> АУПТ, должны предусматривать: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автоматическое отключение приточно-вытяжной вентиляции (кондиционирования воздуха) при срабатывании не менее двух извещателей пожарной сигнализации;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наличие </w:t>
      </w:r>
      <w:proofErr w:type="spellStart"/>
      <w:r>
        <w:rPr>
          <w:color w:val="000000"/>
          <w:szCs w:val="23"/>
        </w:rPr>
        <w:t>огнезадерживающих</w:t>
      </w:r>
      <w:proofErr w:type="spellEnd"/>
      <w:r>
        <w:rPr>
          <w:color w:val="000000"/>
          <w:szCs w:val="23"/>
        </w:rPr>
        <w:t xml:space="preserve"> клапанов на воздуховодах и их автоматическое закрытие в случае пожара;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20-минутную </w:t>
      </w:r>
      <w:r w:rsidR="00D852E9">
        <w:rPr>
          <w:color w:val="000000"/>
          <w:szCs w:val="23"/>
        </w:rPr>
        <w:t>«</w:t>
      </w:r>
      <w:r>
        <w:rPr>
          <w:color w:val="000000"/>
          <w:szCs w:val="23"/>
        </w:rPr>
        <w:t>выдержку</w:t>
      </w:r>
      <w:r w:rsidR="00D852E9">
        <w:rPr>
          <w:color w:val="000000"/>
          <w:szCs w:val="23"/>
        </w:rPr>
        <w:t>»</w:t>
      </w:r>
      <w:r>
        <w:rPr>
          <w:color w:val="000000"/>
          <w:szCs w:val="23"/>
        </w:rPr>
        <w:t xml:space="preserve"> огнетушащего газа после его подачи в помещение, где произошел пожар;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исключение вытеснения дыма и огнетушащего газа в соседние помещения при подаче и после подачи газовых огнетушащих средств; при этом противопожарные двери в указанных помещениях должны иметь </w:t>
      </w:r>
      <w:proofErr w:type="spellStart"/>
      <w:r>
        <w:rPr>
          <w:color w:val="000000"/>
          <w:szCs w:val="23"/>
        </w:rPr>
        <w:t>газодымонепроницаемое</w:t>
      </w:r>
      <w:proofErr w:type="spellEnd"/>
      <w:r>
        <w:rPr>
          <w:color w:val="000000"/>
          <w:szCs w:val="23"/>
        </w:rPr>
        <w:t xml:space="preserve"> исполнение (сопротивление </w:t>
      </w:r>
      <w:proofErr w:type="spellStart"/>
      <w:r>
        <w:rPr>
          <w:color w:val="000000"/>
          <w:szCs w:val="23"/>
        </w:rPr>
        <w:t>газодымонепроницанию</w:t>
      </w:r>
      <w:proofErr w:type="spellEnd"/>
      <w:r>
        <w:rPr>
          <w:color w:val="000000"/>
          <w:szCs w:val="23"/>
        </w:rPr>
        <w:t xml:space="preserve"> — не менее 5 </w:t>
      </w:r>
      <w:r>
        <w:rPr>
          <w:color w:val="000000"/>
          <w:szCs w:val="23"/>
        </w:rPr>
        <w:sym w:font="Symbol" w:char="F0D7"/>
      </w:r>
      <w:r>
        <w:rPr>
          <w:color w:val="000000"/>
          <w:szCs w:val="23"/>
        </w:rPr>
        <w:t xml:space="preserve"> 10</w:t>
      </w:r>
      <w:r>
        <w:rPr>
          <w:color w:val="000000"/>
          <w:szCs w:val="23"/>
          <w:vertAlign w:val="superscript"/>
        </w:rPr>
        <w:t>4</w:t>
      </w:r>
      <w:r>
        <w:rPr>
          <w:color w:val="000000"/>
          <w:szCs w:val="23"/>
        </w:rPr>
        <w:t xml:space="preserve"> кг</w:t>
      </w:r>
      <w:r>
        <w:rPr>
          <w:color w:val="000000"/>
          <w:szCs w:val="23"/>
          <w:vertAlign w:val="superscript"/>
        </w:rPr>
        <w:t>-1</w:t>
      </w:r>
      <w:r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sym w:font="Symbol" w:char="F0D7"/>
      </w:r>
      <w:r>
        <w:rPr>
          <w:color w:val="000000"/>
          <w:szCs w:val="23"/>
        </w:rPr>
        <w:t xml:space="preserve"> м</w:t>
      </w:r>
      <w:r>
        <w:rPr>
          <w:color w:val="000000"/>
          <w:szCs w:val="23"/>
          <w:vertAlign w:val="superscript"/>
        </w:rPr>
        <w:t>-3</w:t>
      </w:r>
      <w:r>
        <w:rPr>
          <w:color w:val="000000"/>
          <w:szCs w:val="23"/>
        </w:rPr>
        <w:t>).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4.2. </w:t>
      </w:r>
      <w:proofErr w:type="gramStart"/>
      <w:r>
        <w:rPr>
          <w:color w:val="000000"/>
          <w:szCs w:val="23"/>
        </w:rPr>
        <w:t xml:space="preserve">В помещениях, оборудованных газовыми АУПТ, удаление огнетушащего газа осуществляется через </w:t>
      </w:r>
      <w:proofErr w:type="spellStart"/>
      <w:r>
        <w:rPr>
          <w:color w:val="000000"/>
          <w:szCs w:val="23"/>
        </w:rPr>
        <w:t>общеобменную</w:t>
      </w:r>
      <w:proofErr w:type="spellEnd"/>
      <w:r>
        <w:rPr>
          <w:color w:val="000000"/>
          <w:szCs w:val="23"/>
        </w:rPr>
        <w:t xml:space="preserve"> вентиляцию, в соответствии с требованиями СНиП 2.04.05-91* [13].</w:t>
      </w:r>
      <w:proofErr w:type="gramEnd"/>
      <w:r>
        <w:rPr>
          <w:color w:val="000000"/>
          <w:szCs w:val="23"/>
        </w:rPr>
        <w:t xml:space="preserve"> Выбор вентиляторов, выполняющих указанную функцию, следует осуществлять с учетом температуры удаляемой газовоздушной смеси.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Для этой цели рекомендуется также использовать передвижные вентиляционные установки (дымососы).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 xml:space="preserve">4.3. Внутри помещений, предназначенных для установки источников бесперебойного питания — дизельных, аккумуляторных (с возможным выделением водорода) </w:t>
      </w:r>
      <w:r>
        <w:rPr>
          <w:iCs/>
          <w:color w:val="000000"/>
          <w:szCs w:val="23"/>
        </w:rPr>
        <w:t xml:space="preserve">— </w:t>
      </w:r>
      <w:r>
        <w:rPr>
          <w:color w:val="000000"/>
          <w:szCs w:val="23"/>
        </w:rPr>
        <w:t>для гарантированного обеспечения предотвращения образования взрывоопасных концентраций следует предусматривать систему вентиляции воздуха, не совмещенную с системами вентиляции помещений другого назначения [13].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center"/>
        <w:rPr>
          <w:rFonts w:cs="Courier New"/>
          <w:b/>
          <w:color w:val="000000"/>
          <w:szCs w:val="24"/>
        </w:rPr>
      </w:pPr>
      <w:r>
        <w:rPr>
          <w:rFonts w:cs="Courier New"/>
          <w:b/>
          <w:color w:val="000000"/>
          <w:szCs w:val="24"/>
        </w:rPr>
        <w:t>5. ТРЕБОВАНИЯ К ПУТЯМ ЭВАКУАЦИИ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5.1. Пути эвакуации необходимо проектировать в соответствии с положениями [4].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5.2. Общие требования пожарной безопасности к путям эвакуации изложены в [3].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5.3. Система оповещения людей о пожаре должна выполняться в соответствии с НПБ 104-95 [14].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5.4. Освещение на путях эвакуации должно соответствовать требованиям СНиП 23-05-95 [15].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5.5. </w:t>
      </w:r>
      <w:proofErr w:type="spellStart"/>
      <w:r>
        <w:rPr>
          <w:color w:val="000000"/>
          <w:szCs w:val="23"/>
        </w:rPr>
        <w:t>Противодымная</w:t>
      </w:r>
      <w:proofErr w:type="spellEnd"/>
      <w:r>
        <w:rPr>
          <w:color w:val="000000"/>
          <w:szCs w:val="23"/>
        </w:rPr>
        <w:t xml:space="preserve"> защита зданий и сооружений должна выполняться в соответствии с требованиями [13].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Персонал, работающий в помещениях, защищаемых газовыми АУПТ, должен обеспечиваться сертифицированными средствами индивидуальной защиты органов дыхания (например, самоспасатели типа СПИ-20), хранящимися в специальных шкафах внутри помещения или в непосредственной близости от него.</w:t>
      </w:r>
    </w:p>
    <w:p w:rsidR="00984D98" w:rsidRDefault="00984D98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984D98" w:rsidRDefault="00CC38C6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bookmarkStart w:id="0" w:name="_GoBack"/>
      <w:bookmarkEnd w:id="0"/>
      <w:r>
        <w:rPr>
          <w:b/>
          <w:color w:val="000000"/>
          <w:szCs w:val="23"/>
        </w:rPr>
        <w:t>СПИСОК ЛИТЕРАТУРЫ</w:t>
      </w:r>
    </w:p>
    <w:p w:rsidR="00984D98" w:rsidRDefault="00984D98">
      <w:pPr>
        <w:shd w:val="clear" w:color="auto" w:fill="FFFFFF"/>
        <w:ind w:firstLine="284"/>
        <w:jc w:val="both"/>
      </w:pP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1. СНиП 10-01-94 Система нормативных документов в строительстве.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2. ВНТП-213-93 Предприятия радиосвязи, радиовещания и телевидения. Радиорелейные линии передачи прямой видимости.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 ППБ 01-93** Правила пожарной безопасности в Российской Федерации.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4. СНиП 21-01-97* Пожарная безопасность зданий и сооружений.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 ГОСТ 30244-94 Материалы строительные. Методы испытаний на горючесть.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6. НПБ 88-2001 Установки пожаротушения и сигнализации. Нормы и правила проектирования.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7. НПБ 54-96 Установки газового пожаротушения автоматические. Модули, батареи.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8. НПБ 78-99 Установки газового пожаротушения автоматические. Резервуары изотермические. Общие технические требования. Методы испытаний.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9. НПБ 110-99 Перечень зданий, сооружений и помещений и оборудования, подлежащих защите автоматическими установками пожаротушения и обнаружения пожара.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10. Правила устройства электроустановок. ПУЭ-85.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11. ГОСТ 12.1.004-91 Пожарная безопасность. Общие требования.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lastRenderedPageBreak/>
        <w:t>12. НПБ 105-95 Определение категорий помещений и зданий по взрывопожарной и пожарной опасности.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13. СНиП 2.04.05-91* Отопление, вентиляция и кондиционирование воздуха.</w:t>
      </w:r>
    </w:p>
    <w:p w:rsidR="00984D98" w:rsidRDefault="00CC38C6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14. НПБ 104-95 Проектирование систем оповещения людей о пожаре в зданиях и сооружениях.</w:t>
      </w:r>
    </w:p>
    <w:p w:rsidR="00984D98" w:rsidRDefault="00CC38C6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15. СНиП 23-05-95 Естественное и искусственное освещение.</w:t>
      </w:r>
    </w:p>
    <w:sectPr w:rsidR="00984D98">
      <w:pgSz w:w="11909" w:h="16834" w:code="9"/>
      <w:pgMar w:top="1440" w:right="1797" w:bottom="1440" w:left="179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96"/>
    <w:rsid w:val="00704762"/>
    <w:rsid w:val="008A6A96"/>
    <w:rsid w:val="00984D98"/>
    <w:rsid w:val="00CC38C6"/>
    <w:rsid w:val="00D852E9"/>
    <w:rsid w:val="00F1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2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2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protivopozharnaya-zashhi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Противопожарная защита зданий с РЛС</vt:lpstr>
    </vt:vector>
  </TitlesOfParts>
  <LinksUpToDate>false</LinksUpToDate>
  <CharactersWithSpaces>16935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2019-05-12T09:30:00Z</dcterms:created>
  <dcterms:modified xsi:type="dcterms:W3CDTF">2019-06-16T15:37:00Z</dcterms:modified>
</cp:coreProperties>
</file>